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D6955">
        <w:rPr>
          <w:color w:val="000000" w:themeColor="text1"/>
          <w:sz w:val="28"/>
          <w:szCs w:val="28"/>
        </w:rPr>
        <w:t>Прибрежного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9B3075">
        <w:rPr>
          <w:color w:val="000000" w:themeColor="text1"/>
          <w:sz w:val="28"/>
          <w:szCs w:val="28"/>
        </w:rPr>
        <w:t>о</w:t>
      </w:r>
      <w:r w:rsidR="00CD30FA" w:rsidRPr="009B3075">
        <w:rPr>
          <w:color w:val="000000" w:themeColor="text1"/>
          <w:sz w:val="28"/>
          <w:szCs w:val="28"/>
        </w:rPr>
        <w:t>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>Уведомительная регистрация трудового до</w:t>
      </w:r>
      <w:bookmarkStart w:id="1" w:name="_GoBack"/>
      <w:bookmarkEnd w:id="1"/>
      <w:r w:rsidR="0034130E" w:rsidRPr="009B3075">
        <w:rPr>
          <w:color w:val="000000" w:themeColor="text1"/>
          <w:sz w:val="28"/>
          <w:szCs w:val="28"/>
        </w:rPr>
        <w:t xml:space="preserve">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</w:t>
      </w:r>
      <w:r w:rsidR="000C366E">
        <w:rPr>
          <w:color w:val="000000" w:themeColor="text1"/>
          <w:sz w:val="28"/>
          <w:szCs w:val="28"/>
        </w:rPr>
        <w:t>29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0C366E">
        <w:rPr>
          <w:color w:val="000000" w:themeColor="text1"/>
          <w:sz w:val="28"/>
          <w:szCs w:val="28"/>
        </w:rPr>
        <w:t>189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ного регламента предоставления муниципальной услуги «Уведомительная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</w:t>
      </w:r>
      <w:r w:rsidRPr="009B3075">
        <w:rPr>
          <w:color w:val="000000" w:themeColor="text1"/>
          <w:sz w:val="28"/>
          <w:szCs w:val="28"/>
        </w:rPr>
        <w:t>ю</w:t>
      </w:r>
      <w:r w:rsidRPr="009B3075">
        <w:rPr>
          <w:color w:val="000000" w:themeColor="text1"/>
          <w:sz w:val="28"/>
          <w:szCs w:val="28"/>
        </w:rPr>
        <w:t>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 xml:space="preserve">ского района от 01 </w:t>
      </w:r>
      <w:r w:rsidR="000C366E">
        <w:rPr>
          <w:color w:val="000000" w:themeColor="text1"/>
          <w:sz w:val="28"/>
          <w:szCs w:val="28"/>
        </w:rPr>
        <w:t>октября</w:t>
      </w:r>
      <w:r w:rsidRPr="009B3075">
        <w:rPr>
          <w:color w:val="000000" w:themeColor="text1"/>
          <w:sz w:val="28"/>
          <w:szCs w:val="28"/>
        </w:rPr>
        <w:t xml:space="preserve"> 2020 года № </w:t>
      </w:r>
      <w:r w:rsidR="000C366E">
        <w:rPr>
          <w:color w:val="000000" w:themeColor="text1"/>
          <w:sz w:val="28"/>
          <w:szCs w:val="28"/>
        </w:rPr>
        <w:t>149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9B3075">
        <w:rPr>
          <w:color w:val="000000" w:themeColor="text1"/>
          <w:sz w:val="28"/>
          <w:szCs w:val="28"/>
        </w:rPr>
        <w:t>й</w:t>
      </w:r>
      <w:r w:rsidRPr="009B3075">
        <w:rPr>
          <w:color w:val="000000" w:themeColor="text1"/>
          <w:sz w:val="28"/>
          <w:szCs w:val="28"/>
        </w:rPr>
        <w:t xml:space="preserve">она от </w:t>
      </w:r>
      <w:r w:rsidR="000C366E">
        <w:rPr>
          <w:color w:val="000000" w:themeColor="text1"/>
          <w:sz w:val="28"/>
          <w:szCs w:val="28"/>
        </w:rPr>
        <w:t>29</w:t>
      </w:r>
      <w:r w:rsidRPr="009B3075">
        <w:rPr>
          <w:color w:val="000000" w:themeColor="text1"/>
          <w:sz w:val="28"/>
          <w:szCs w:val="28"/>
        </w:rPr>
        <w:t xml:space="preserve"> декабря 2018 года № </w:t>
      </w:r>
      <w:r w:rsidR="000C366E">
        <w:rPr>
          <w:color w:val="000000" w:themeColor="text1"/>
          <w:sz w:val="28"/>
          <w:szCs w:val="28"/>
        </w:rPr>
        <w:t>189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гламента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gramStart"/>
      <w:r w:rsidR="000C366E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Орловская</w:t>
      </w:r>
      <w:proofErr w:type="gramEnd"/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D695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D695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Прибрежного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0C366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 xml:space="preserve">Г.В. </w:t>
      </w:r>
      <w:proofErr w:type="gramStart"/>
      <w:r w:rsidR="000C366E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Орловскую</w:t>
      </w:r>
      <w:proofErr w:type="gramEnd"/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AD695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proofErr w:type="gramEnd"/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0C366E">
        <w:rPr>
          <w:rFonts w:eastAsia="Calibri"/>
          <w:color w:val="000000" w:themeColor="text1"/>
          <w:sz w:val="28"/>
          <w:szCs w:val="28"/>
        </w:rPr>
        <w:tab/>
      </w:r>
      <w:r w:rsidR="00AD6955">
        <w:rPr>
          <w:rFonts w:eastAsia="Calibri"/>
          <w:color w:val="000000" w:themeColor="text1"/>
          <w:sz w:val="28"/>
          <w:szCs w:val="28"/>
        </w:rPr>
        <w:t>Т.В. Сайган</w:t>
      </w:r>
      <w:r w:rsidR="00AD6955">
        <w:rPr>
          <w:rFonts w:eastAsia="Calibri"/>
          <w:color w:val="000000" w:themeColor="text1"/>
          <w:sz w:val="28"/>
          <w:szCs w:val="28"/>
        </w:rPr>
        <w:t>о</w:t>
      </w:r>
      <w:r w:rsidR="00AD6955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AD6955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adm-pribregniy.ru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/2340200010003143648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=161594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/a-2303.html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/2340200010003143648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=161594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0C366E" w:rsidRP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adm-pribregniy.ru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151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 Сайган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AD6955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AD6955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 Сайган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AD6955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AD6955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п. Совхозный,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AD6955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AD6955">
        <w:rPr>
          <w:color w:val="000000" w:themeColor="text1"/>
          <w:sz w:val="28"/>
          <w:szCs w:val="28"/>
          <w:u w:val="single"/>
        </w:rPr>
        <w:t>п. Совхозный,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AD6955">
        <w:rPr>
          <w:color w:val="000000" w:themeColor="text1"/>
          <w:sz w:val="28"/>
          <w:szCs w:val="28"/>
        </w:rPr>
        <w:t>Прибрежного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36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 Сайган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D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09" w:rsidRDefault="00C45209">
      <w:r>
        <w:separator/>
      </w:r>
    </w:p>
  </w:endnote>
  <w:endnote w:type="continuationSeparator" w:id="0">
    <w:p w:rsidR="00C45209" w:rsidRDefault="00C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09" w:rsidRDefault="00C45209">
      <w:r>
        <w:separator/>
      </w:r>
    </w:p>
  </w:footnote>
  <w:footnote w:type="continuationSeparator" w:id="0">
    <w:p w:rsidR="00C45209" w:rsidRDefault="00C4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C366E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3ABF60" wp14:editId="49CCA9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66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C366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07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07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D120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D120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6E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6955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3C6F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209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207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99DF-B789-4BA5-9217-5E231EB2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50</Pages>
  <Words>18358</Words>
  <Characters>104644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122757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59</cp:revision>
  <cp:lastPrinted>2018-08-31T10:57:00Z</cp:lastPrinted>
  <dcterms:created xsi:type="dcterms:W3CDTF">2018-08-01T05:32:00Z</dcterms:created>
  <dcterms:modified xsi:type="dcterms:W3CDTF">2021-02-18T08:19:00Z</dcterms:modified>
</cp:coreProperties>
</file>