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7215FD">
        <w:rPr>
          <w:color w:val="000000" w:themeColor="text1"/>
          <w:sz w:val="28"/>
          <w:szCs w:val="28"/>
        </w:rPr>
        <w:t>Петровского</w:t>
      </w:r>
      <w:r w:rsidR="000648D7">
        <w:rPr>
          <w:color w:val="000000" w:themeColor="text1"/>
          <w:sz w:val="28"/>
          <w:szCs w:val="28"/>
        </w:rPr>
        <w:t xml:space="preserve"> сельского посел</w:t>
      </w:r>
      <w:r w:rsidR="000648D7">
        <w:rPr>
          <w:color w:val="000000" w:themeColor="text1"/>
          <w:sz w:val="28"/>
          <w:szCs w:val="28"/>
        </w:rPr>
        <w:t>е</w:t>
      </w:r>
      <w:r w:rsidR="000648D7">
        <w:rPr>
          <w:color w:val="000000" w:themeColor="text1"/>
          <w:sz w:val="28"/>
          <w:szCs w:val="28"/>
        </w:rPr>
        <w:t>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7215FD">
        <w:rPr>
          <w:color w:val="000000" w:themeColor="text1"/>
          <w:sz w:val="28"/>
          <w:szCs w:val="28"/>
        </w:rPr>
        <w:t>Петровского</w:t>
      </w:r>
      <w:r w:rsidRPr="00E209AF">
        <w:rPr>
          <w:sz w:val="28"/>
          <w:szCs w:val="28"/>
        </w:rPr>
        <w:t xml:space="preserve"> сельского поселения Сл</w:t>
      </w:r>
      <w:r w:rsidRPr="00E209AF">
        <w:rPr>
          <w:sz w:val="28"/>
          <w:szCs w:val="28"/>
        </w:rPr>
        <w:t>а</w:t>
      </w:r>
      <w:r w:rsidRPr="00E209AF">
        <w:rPr>
          <w:sz w:val="28"/>
          <w:szCs w:val="28"/>
        </w:rPr>
        <w:t>вянского района (</w:t>
      </w:r>
      <w:r w:rsidR="007215FD">
        <w:rPr>
          <w:sz w:val="28"/>
          <w:szCs w:val="28"/>
        </w:rPr>
        <w:t>Казакова Ж.В.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7215FD">
        <w:rPr>
          <w:color w:val="000000" w:themeColor="text1"/>
          <w:sz w:val="28"/>
          <w:szCs w:val="28"/>
        </w:rPr>
        <w:t>Петровского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7215FD">
        <w:rPr>
          <w:color w:val="000000" w:themeColor="text1"/>
          <w:sz w:val="28"/>
          <w:szCs w:val="28"/>
        </w:rPr>
        <w:t>Петровского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7215FD" w:rsidRPr="007215FD">
        <w:rPr>
          <w:bCs/>
          <w:color w:val="000000" w:themeColor="text1"/>
          <w:sz w:val="28"/>
          <w:szCs w:val="28"/>
        </w:rPr>
        <w:t>25</w:t>
      </w:r>
      <w:r w:rsidR="000648D7" w:rsidRPr="007215FD">
        <w:rPr>
          <w:bCs/>
          <w:color w:val="000000" w:themeColor="text1"/>
          <w:sz w:val="28"/>
          <w:szCs w:val="28"/>
        </w:rPr>
        <w:t xml:space="preserve"> </w:t>
      </w:r>
      <w:r w:rsidR="007215FD" w:rsidRPr="007215FD">
        <w:rPr>
          <w:bCs/>
          <w:color w:val="000000" w:themeColor="text1"/>
          <w:sz w:val="28"/>
          <w:szCs w:val="28"/>
        </w:rPr>
        <w:t>октября</w:t>
      </w:r>
      <w:r w:rsidR="000648D7" w:rsidRPr="007215FD">
        <w:rPr>
          <w:bCs/>
          <w:color w:val="000000" w:themeColor="text1"/>
          <w:sz w:val="28"/>
          <w:szCs w:val="28"/>
        </w:rPr>
        <w:t xml:space="preserve"> 202</w:t>
      </w:r>
      <w:r w:rsidR="0074148F" w:rsidRPr="007215FD">
        <w:rPr>
          <w:bCs/>
          <w:color w:val="000000" w:themeColor="text1"/>
          <w:sz w:val="28"/>
          <w:szCs w:val="28"/>
        </w:rPr>
        <w:t>1</w:t>
      </w:r>
      <w:r w:rsidR="000648D7" w:rsidRPr="000648D7"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7215FD">
        <w:rPr>
          <w:bCs/>
          <w:color w:val="000000" w:themeColor="text1"/>
          <w:sz w:val="28"/>
          <w:szCs w:val="28"/>
        </w:rPr>
        <w:t>319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215FD">
        <w:rPr>
          <w:color w:val="000000" w:themeColor="text1"/>
          <w:sz w:val="28"/>
          <w:szCs w:val="28"/>
        </w:rPr>
        <w:t>Петровского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215F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215F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215F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215F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215FD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</w:t>
      </w:r>
      <w:r w:rsidR="007215FD">
        <w:rPr>
          <w:color w:val="000000" w:themeColor="text1"/>
          <w:kern w:val="32"/>
          <w:sz w:val="28"/>
          <w:szCs w:val="28"/>
          <w:lang w:eastAsia="ko-KR"/>
        </w:rPr>
        <w:t>В.И. Михайле</w:t>
      </w:r>
      <w:r w:rsidR="007215FD">
        <w:rPr>
          <w:color w:val="000000" w:themeColor="text1"/>
          <w:kern w:val="32"/>
          <w:sz w:val="28"/>
          <w:szCs w:val="28"/>
          <w:lang w:eastAsia="ko-KR"/>
        </w:rPr>
        <w:t>н</w:t>
      </w:r>
      <w:r w:rsidR="007215FD">
        <w:rPr>
          <w:color w:val="000000" w:themeColor="text1"/>
          <w:kern w:val="32"/>
          <w:sz w:val="28"/>
          <w:szCs w:val="28"/>
          <w:lang w:eastAsia="ko-KR"/>
        </w:rPr>
        <w:t>ко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7215FD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Петровского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7215FD">
        <w:rPr>
          <w:color w:val="000000" w:themeColor="text1"/>
          <w:sz w:val="28"/>
          <w:szCs w:val="28"/>
        </w:rPr>
        <w:t>Петро</w:t>
      </w:r>
      <w:r w:rsidR="007215FD">
        <w:rPr>
          <w:color w:val="000000" w:themeColor="text1"/>
          <w:sz w:val="28"/>
          <w:szCs w:val="28"/>
        </w:rPr>
        <w:t>в</w:t>
      </w:r>
      <w:r w:rsidR="007215FD">
        <w:rPr>
          <w:color w:val="000000" w:themeColor="text1"/>
          <w:sz w:val="28"/>
          <w:szCs w:val="28"/>
        </w:rPr>
        <w:t>ского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7215FD" w:rsidRPr="007215FD">
        <w:rPr>
          <w:sz w:val="28"/>
          <w:szCs w:val="28"/>
        </w:rPr>
        <w:t>st-petrovskaja.ru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lastRenderedPageBreak/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7215FD">
        <w:rPr>
          <w:color w:val="000000" w:themeColor="text1"/>
          <w:sz w:val="28"/>
          <w:szCs w:val="28"/>
        </w:rPr>
        <w:t>Петровского</w:t>
      </w:r>
      <w:r w:rsidR="00802D42" w:rsidRPr="00730DF7">
        <w:rPr>
          <w:sz w:val="28"/>
          <w:szCs w:val="28"/>
        </w:rPr>
        <w:t xml:space="preserve"> сельского поселения Славя</w:t>
      </w:r>
      <w:r w:rsidR="00802D42" w:rsidRPr="00730DF7">
        <w:rPr>
          <w:sz w:val="28"/>
          <w:szCs w:val="28"/>
        </w:rPr>
        <w:t>н</w:t>
      </w:r>
      <w:r w:rsidR="00802D42" w:rsidRPr="00730DF7">
        <w:rPr>
          <w:sz w:val="28"/>
          <w:szCs w:val="28"/>
        </w:rPr>
        <w:t>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0E6148">
        <w:rPr>
          <w:color w:val="000000" w:themeColor="text1"/>
          <w:sz w:val="28"/>
          <w:szCs w:val="28"/>
        </w:rPr>
        <w:lastRenderedPageBreak/>
        <w:t xml:space="preserve">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7215FD" w:rsidRPr="007215FD">
        <w:rPr>
          <w:color w:val="000000" w:themeColor="text1"/>
          <w:sz w:val="28"/>
          <w:szCs w:val="28"/>
        </w:rPr>
        <w:t>gosuslugi.ru/</w:t>
      </w:r>
      <w:proofErr w:type="spellStart"/>
      <w:r w:rsidR="007215FD" w:rsidRPr="007215FD">
        <w:rPr>
          <w:color w:val="000000" w:themeColor="text1"/>
          <w:sz w:val="28"/>
          <w:szCs w:val="28"/>
        </w:rPr>
        <w:t>structure</w:t>
      </w:r>
      <w:proofErr w:type="spellEnd"/>
      <w:r w:rsidR="007215FD" w:rsidRPr="007215FD">
        <w:rPr>
          <w:color w:val="000000" w:themeColor="text1"/>
          <w:sz w:val="28"/>
          <w:szCs w:val="28"/>
        </w:rPr>
        <w:t>/2340200010003146380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7215FD" w:rsidRPr="007215FD">
        <w:rPr>
          <w:color w:val="000000" w:themeColor="text1"/>
          <w:sz w:val="28"/>
          <w:szCs w:val="28"/>
        </w:rPr>
        <w:t>.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7215FD" w:rsidRPr="007215FD">
        <w:rPr>
          <w:color w:val="000000" w:themeColor="text1"/>
          <w:sz w:val="28"/>
          <w:szCs w:val="28"/>
        </w:rPr>
        <w:t>.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7215FD" w:rsidRPr="007215FD">
        <w:rPr>
          <w:color w:val="000000" w:themeColor="text1"/>
          <w:sz w:val="28"/>
          <w:szCs w:val="28"/>
        </w:rPr>
        <w:t>/</w:t>
      </w:r>
      <w:r w:rsidR="007215FD" w:rsidRPr="007215FD">
        <w:rPr>
          <w:color w:val="000000" w:themeColor="text1"/>
          <w:sz w:val="28"/>
          <w:szCs w:val="28"/>
          <w:lang w:val="en-US"/>
        </w:rPr>
        <w:t>structure</w:t>
      </w:r>
      <w:r w:rsidR="007215FD" w:rsidRPr="007215FD">
        <w:rPr>
          <w:color w:val="000000" w:themeColor="text1"/>
          <w:sz w:val="28"/>
          <w:szCs w:val="28"/>
        </w:rPr>
        <w:t>/</w:t>
      </w:r>
      <w:r w:rsidR="007215FD" w:rsidRPr="007215FD">
        <w:rPr>
          <w:color w:val="000000" w:themeColor="text1"/>
          <w:sz w:val="28"/>
          <w:szCs w:val="28"/>
          <w:lang w:val="en-US"/>
        </w:rPr>
        <w:t>detail</w:t>
      </w:r>
      <w:r w:rsidR="007215FD" w:rsidRPr="007215FD">
        <w:rPr>
          <w:color w:val="000000" w:themeColor="text1"/>
          <w:sz w:val="28"/>
          <w:szCs w:val="28"/>
        </w:rPr>
        <w:t>.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7215FD" w:rsidRPr="007215FD">
        <w:rPr>
          <w:color w:val="000000" w:themeColor="text1"/>
          <w:sz w:val="28"/>
          <w:szCs w:val="28"/>
        </w:rPr>
        <w:t>?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7215FD" w:rsidRPr="007215FD">
        <w:rPr>
          <w:color w:val="000000" w:themeColor="text1"/>
          <w:sz w:val="28"/>
          <w:szCs w:val="28"/>
        </w:rPr>
        <w:t>=161700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 xml:space="preserve">вовые акты, регулирующие порядок предоставления Муниципальной услуги, в том числе Административный регламент, которые по требованию заявителя </w:t>
      </w:r>
      <w:r w:rsidRPr="003265E7">
        <w:rPr>
          <w:sz w:val="28"/>
        </w:rPr>
        <w:lastRenderedPageBreak/>
        <w:t>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</w:t>
      </w:r>
      <w:r w:rsidR="0067007D" w:rsidRPr="00C95891">
        <w:rPr>
          <w:sz w:val="28"/>
          <w:szCs w:val="28"/>
        </w:rPr>
        <w:lastRenderedPageBreak/>
        <w:t xml:space="preserve">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 xml:space="preserve">соглашение об </w:t>
      </w:r>
      <w:r w:rsidRPr="001C0362">
        <w:rPr>
          <w:sz w:val="28"/>
          <w:szCs w:val="28"/>
        </w:rPr>
        <w:lastRenderedPageBreak/>
        <w:t>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lastRenderedPageBreak/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7215FD" w:rsidRPr="007215FD">
        <w:rPr>
          <w:color w:val="000000" w:themeColor="text1"/>
          <w:sz w:val="28"/>
          <w:szCs w:val="28"/>
        </w:rPr>
        <w:t>slavyansk.ru/</w:t>
      </w:r>
      <w:proofErr w:type="spellStart"/>
      <w:r w:rsidR="007215FD" w:rsidRPr="007215FD">
        <w:rPr>
          <w:color w:val="000000" w:themeColor="text1"/>
          <w:sz w:val="28"/>
          <w:szCs w:val="28"/>
        </w:rPr>
        <w:t>article</w:t>
      </w:r>
      <w:proofErr w:type="spellEnd"/>
      <w:r w:rsidR="007215FD" w:rsidRPr="007215FD">
        <w:rPr>
          <w:color w:val="000000" w:themeColor="text1"/>
          <w:sz w:val="28"/>
          <w:szCs w:val="28"/>
        </w:rPr>
        <w:t>/a-2273.html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7215FD" w:rsidRPr="007215FD">
        <w:rPr>
          <w:color w:val="000000" w:themeColor="text1"/>
          <w:sz w:val="28"/>
          <w:szCs w:val="28"/>
        </w:rPr>
        <w:t>gosuslugi.ru/</w:t>
      </w:r>
      <w:proofErr w:type="spellStart"/>
      <w:r w:rsidR="007215FD" w:rsidRPr="007215FD">
        <w:rPr>
          <w:color w:val="000000" w:themeColor="text1"/>
          <w:sz w:val="28"/>
          <w:szCs w:val="28"/>
        </w:rPr>
        <w:t>structure</w:t>
      </w:r>
      <w:proofErr w:type="spellEnd"/>
      <w:r w:rsidR="007215FD" w:rsidRPr="007215FD">
        <w:rPr>
          <w:color w:val="000000" w:themeColor="text1"/>
          <w:sz w:val="28"/>
          <w:szCs w:val="28"/>
        </w:rPr>
        <w:t>/2340200010003146380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7215FD" w:rsidRPr="007215FD">
        <w:rPr>
          <w:color w:val="000000" w:themeColor="text1"/>
          <w:sz w:val="28"/>
          <w:szCs w:val="28"/>
        </w:rPr>
        <w:t>.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7215FD" w:rsidRPr="007215FD">
        <w:rPr>
          <w:color w:val="000000" w:themeColor="text1"/>
          <w:sz w:val="28"/>
          <w:szCs w:val="28"/>
        </w:rPr>
        <w:t>.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7215FD" w:rsidRPr="007215FD">
        <w:rPr>
          <w:color w:val="000000" w:themeColor="text1"/>
          <w:sz w:val="28"/>
          <w:szCs w:val="28"/>
        </w:rPr>
        <w:t>/</w:t>
      </w:r>
      <w:r w:rsidR="007215FD" w:rsidRPr="007215FD">
        <w:rPr>
          <w:color w:val="000000" w:themeColor="text1"/>
          <w:sz w:val="28"/>
          <w:szCs w:val="28"/>
          <w:lang w:val="en-US"/>
        </w:rPr>
        <w:t>structure</w:t>
      </w:r>
      <w:r w:rsidR="007215FD" w:rsidRPr="007215FD">
        <w:rPr>
          <w:color w:val="000000" w:themeColor="text1"/>
          <w:sz w:val="28"/>
          <w:szCs w:val="28"/>
        </w:rPr>
        <w:t>/</w:t>
      </w:r>
      <w:r w:rsidR="007215FD">
        <w:rPr>
          <w:color w:val="000000" w:themeColor="text1"/>
          <w:sz w:val="28"/>
          <w:szCs w:val="28"/>
        </w:rPr>
        <w:t xml:space="preserve"> </w:t>
      </w:r>
      <w:r w:rsidR="007215FD" w:rsidRPr="007215FD">
        <w:rPr>
          <w:color w:val="000000" w:themeColor="text1"/>
          <w:sz w:val="28"/>
          <w:szCs w:val="28"/>
          <w:lang w:val="en-US"/>
        </w:rPr>
        <w:t>detail</w:t>
      </w:r>
      <w:r w:rsidR="007215FD" w:rsidRPr="007215FD">
        <w:rPr>
          <w:color w:val="000000" w:themeColor="text1"/>
          <w:sz w:val="28"/>
          <w:szCs w:val="28"/>
        </w:rPr>
        <w:t>.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7215FD" w:rsidRPr="007215FD">
        <w:rPr>
          <w:color w:val="000000" w:themeColor="text1"/>
          <w:sz w:val="28"/>
          <w:szCs w:val="28"/>
        </w:rPr>
        <w:t>?</w:t>
      </w:r>
      <w:proofErr w:type="spellStart"/>
      <w:r w:rsidR="007215FD" w:rsidRPr="007215F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7215FD" w:rsidRPr="007215FD">
        <w:rPr>
          <w:color w:val="000000" w:themeColor="text1"/>
          <w:sz w:val="28"/>
          <w:szCs w:val="28"/>
        </w:rPr>
        <w:t>=161700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lastRenderedPageBreak/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 xml:space="preserve">в </w:t>
      </w:r>
      <w:r w:rsidR="00B947BB" w:rsidRPr="00B947BB">
        <w:rPr>
          <w:sz w:val="28"/>
          <w:szCs w:val="28"/>
        </w:rPr>
        <w:lastRenderedPageBreak/>
        <w:t>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 xml:space="preserve">дится изображение сравнительных вариантов размещения соответствующих </w:t>
      </w:r>
      <w:r w:rsidR="00A32F70" w:rsidRPr="00A32F70">
        <w:rPr>
          <w:sz w:val="28"/>
          <w:szCs w:val="28"/>
        </w:rPr>
        <w:lastRenderedPageBreak/>
        <w:t>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A13EF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lastRenderedPageBreak/>
        <w:t xml:space="preserve">некорректное заполнение обязательных полей в форме </w:t>
      </w:r>
      <w:r w:rsidR="003207B2"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3265E7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3265E7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lastRenderedPageBreak/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430A3D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lastRenderedPageBreak/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</w:t>
      </w:r>
      <w:r w:rsidR="00C95891">
        <w:rPr>
          <w:sz w:val="28"/>
          <w:szCs w:val="22"/>
          <w:lang w:eastAsia="en-US"/>
        </w:rPr>
        <w:lastRenderedPageBreak/>
        <w:t>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7215FD">
        <w:rPr>
          <w:sz w:val="28"/>
          <w:szCs w:val="28"/>
        </w:rPr>
        <w:t>Петровского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7215FD">
        <w:rPr>
          <w:sz w:val="28"/>
          <w:szCs w:val="28"/>
        </w:rPr>
        <w:t>Петровского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7215FD">
        <w:rPr>
          <w:sz w:val="28"/>
          <w:szCs w:val="28"/>
        </w:rPr>
        <w:t>Петровского</w:t>
      </w:r>
      <w:r w:rsidRPr="00730DF7">
        <w:rPr>
          <w:sz w:val="28"/>
          <w:szCs w:val="28"/>
        </w:rPr>
        <w:t xml:space="preserve"> сельск</w:t>
      </w:r>
      <w:r w:rsidRPr="00730DF7">
        <w:rPr>
          <w:sz w:val="28"/>
          <w:szCs w:val="28"/>
        </w:rPr>
        <w:t>о</w:t>
      </w:r>
      <w:r w:rsidRPr="00730DF7">
        <w:rPr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7215FD">
        <w:rPr>
          <w:sz w:val="28"/>
          <w:szCs w:val="28"/>
        </w:rPr>
        <w:t>Петровского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7215FD">
        <w:rPr>
          <w:sz w:val="28"/>
          <w:szCs w:val="28"/>
        </w:rPr>
        <w:t>Петровского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lastRenderedPageBreak/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7215FD" w:rsidRPr="007215FD">
        <w:rPr>
          <w:sz w:val="28"/>
          <w:szCs w:val="28"/>
        </w:rPr>
        <w:t>st-petrovskaja.ru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7215FD">
        <w:rPr>
          <w:sz w:val="28"/>
          <w:szCs w:val="28"/>
        </w:rPr>
        <w:t>Петровского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7215FD">
        <w:rPr>
          <w:sz w:val="28"/>
          <w:szCs w:val="28"/>
        </w:rPr>
        <w:t>Петровского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7215FD">
        <w:rPr>
          <w:sz w:val="28"/>
          <w:szCs w:val="28"/>
        </w:rPr>
        <w:t>Петровского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7215FD">
        <w:rPr>
          <w:sz w:val="28"/>
          <w:szCs w:val="28"/>
        </w:rPr>
        <w:t>21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7215FD">
        <w:rPr>
          <w:sz w:val="28"/>
          <w:szCs w:val="28"/>
        </w:rPr>
        <w:t>370</w:t>
      </w:r>
      <w:r w:rsidRPr="003265E7">
        <w:rPr>
          <w:sz w:val="28"/>
          <w:szCs w:val="28"/>
        </w:rPr>
        <w:t xml:space="preserve"> «</w:t>
      </w:r>
      <w:r w:rsidR="007215FD" w:rsidRPr="007215FD">
        <w:rPr>
          <w:sz w:val="28"/>
          <w:szCs w:val="28"/>
        </w:rPr>
        <w:t>Об утверждении порядка п</w:t>
      </w:r>
      <w:r w:rsidR="007215FD" w:rsidRPr="007215FD">
        <w:rPr>
          <w:sz w:val="28"/>
          <w:szCs w:val="28"/>
        </w:rPr>
        <w:t>о</w:t>
      </w:r>
      <w:r w:rsidR="007215FD" w:rsidRPr="007215FD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7215FD" w:rsidRPr="007215FD">
        <w:rPr>
          <w:sz w:val="28"/>
          <w:szCs w:val="28"/>
        </w:rPr>
        <w:t>а</w:t>
      </w:r>
      <w:r w:rsidR="007215FD" w:rsidRPr="007215FD">
        <w:rPr>
          <w:sz w:val="28"/>
          <w:szCs w:val="28"/>
        </w:rPr>
        <w:t>ции Петровского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7215FD"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 w:rsidR="00E26387">
        <w:rPr>
          <w:sz w:val="28"/>
        </w:rPr>
        <w:t xml:space="preserve">                                                    </w:t>
      </w:r>
      <w:r w:rsidR="007215FD"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7215F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7215FD">
              <w:rPr>
                <w:szCs w:val="28"/>
              </w:rPr>
              <w:t>Петровского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7215FD" w:rsidRPr="00730DF7" w:rsidRDefault="007215FD" w:rsidP="007215F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Default="007215FD" w:rsidP="007215F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7215F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7215FD">
              <w:rPr>
                <w:szCs w:val="28"/>
              </w:rPr>
              <w:t>Петровского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15FD" w:rsidRPr="00730DF7" w:rsidRDefault="007215FD" w:rsidP="007215F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7215FD" w:rsidP="007215F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7215F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7215FD">
              <w:rPr>
                <w:szCs w:val="28"/>
              </w:rPr>
              <w:t>Петровского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874FA7" w:rsidP="007215FD">
            <w:pPr>
              <w:widowControl w:val="0"/>
              <w:rPr>
                <w:szCs w:val="28"/>
              </w:rPr>
            </w:pPr>
            <w:r w:rsidRPr="007215FD">
              <w:t>ст</w:t>
            </w:r>
            <w:r w:rsidR="00605544" w:rsidRPr="007215FD">
              <w:t xml:space="preserve">. </w:t>
            </w:r>
            <w:r w:rsidR="007215FD">
              <w:t>Петровская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7215FD" w:rsidRPr="00730DF7" w:rsidRDefault="007215FD" w:rsidP="007215F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Default="007215FD" w:rsidP="007215F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7215F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7215FD">
              <w:rPr>
                <w:szCs w:val="28"/>
              </w:rPr>
              <w:t>Петровского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874FA7" w:rsidP="007215FD">
            <w:pPr>
              <w:widowControl w:val="0"/>
              <w:rPr>
                <w:szCs w:val="28"/>
              </w:rPr>
            </w:pPr>
            <w:r w:rsidRPr="007215FD">
              <w:t xml:space="preserve">ст. </w:t>
            </w:r>
            <w:r w:rsidR="007215FD">
              <w:t>Петровская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5FD" w:rsidRPr="00730DF7" w:rsidRDefault="007215FD" w:rsidP="007215F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7215FD" w:rsidP="007215F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7215FD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7215FD">
              <w:rPr>
                <w:szCs w:val="28"/>
              </w:rPr>
              <w:t>Петровского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7215FD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7215FD">
              <w:rPr>
                <w:color w:val="0D0D0D" w:themeColor="text1" w:themeTint="F2"/>
              </w:rPr>
              <w:t>Петро</w:t>
            </w:r>
            <w:r w:rsidR="007215FD">
              <w:rPr>
                <w:color w:val="0D0D0D" w:themeColor="text1" w:themeTint="F2"/>
              </w:rPr>
              <w:t>в</w:t>
            </w:r>
            <w:r w:rsidR="007215FD">
              <w:rPr>
                <w:color w:val="0D0D0D" w:themeColor="text1" w:themeTint="F2"/>
              </w:rPr>
              <w:t>ская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874FA7" w:rsidRPr="007215FD">
              <w:rPr>
                <w:color w:val="0D0D0D" w:themeColor="text1" w:themeTint="F2"/>
              </w:rPr>
              <w:t>ст</w:t>
            </w:r>
            <w:r w:rsidRPr="007215FD">
              <w:rPr>
                <w:color w:val="0D0D0D" w:themeColor="text1" w:themeTint="F2"/>
              </w:rPr>
              <w:t xml:space="preserve">. </w:t>
            </w:r>
            <w:r w:rsidR="007215FD">
              <w:rPr>
                <w:color w:val="0D0D0D" w:themeColor="text1" w:themeTint="F2"/>
              </w:rPr>
              <w:t>Петровская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собственности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BD2E7B" w:rsidRPr="007215FD">
              <w:rPr>
                <w:color w:val="0D0D0D" w:themeColor="text1" w:themeTint="F2"/>
              </w:rPr>
              <w:t xml:space="preserve">ст. </w:t>
            </w:r>
            <w:r w:rsidR="00BD2E7B">
              <w:rPr>
                <w:color w:val="0D0D0D" w:themeColor="text1" w:themeTint="F2"/>
              </w:rPr>
              <w:t>Петровская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</w:t>
            </w:r>
            <w:r w:rsidRPr="00170F0C">
              <w:rPr>
                <w:color w:val="0D0D0D" w:themeColor="text1" w:themeTint="F2"/>
              </w:rPr>
              <w:t>а</w:t>
            </w:r>
            <w:r w:rsidRPr="00170F0C">
              <w:rPr>
                <w:color w:val="0D0D0D" w:themeColor="text1" w:themeTint="F2"/>
              </w:rPr>
              <w:t>лизации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аварийных участков стал</w:t>
            </w:r>
            <w:r w:rsidRPr="00170F0C">
              <w:rPr>
                <w:color w:val="0D0D0D" w:themeColor="text1" w:themeTint="F2"/>
              </w:rPr>
              <w:t>ь</w:t>
            </w:r>
            <w:r w:rsidRPr="00170F0C">
              <w:rPr>
                <w:color w:val="0D0D0D" w:themeColor="text1" w:themeTint="F2"/>
              </w:rPr>
              <w:t>ных газ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 xml:space="preserve">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BD2E7B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BD2E7B">
              <w:rPr>
                <w:color w:val="0D0D0D" w:themeColor="text1" w:themeTint="F2"/>
              </w:rPr>
              <w:t>Петровская</w:t>
            </w:r>
            <w:r>
              <w:t>», кадастровый номер 23:00:0000000:0000, в части газопровода выс</w:t>
            </w:r>
            <w:r>
              <w:t>о</w:t>
            </w:r>
            <w:r>
              <w:t xml:space="preserve">кого давления, проложенного в </w:t>
            </w:r>
            <w:r w:rsidR="00BD2E7B" w:rsidRPr="007215FD">
              <w:rPr>
                <w:color w:val="0D0D0D" w:themeColor="text1" w:themeTint="F2"/>
              </w:rPr>
              <w:t xml:space="preserve">ст. </w:t>
            </w:r>
            <w:r w:rsidR="00BD2E7B">
              <w:rPr>
                <w:color w:val="0D0D0D" w:themeColor="text1" w:themeTint="F2"/>
              </w:rPr>
              <w:t>Петровская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</w:t>
            </w:r>
            <w:r>
              <w:t>и</w:t>
            </w:r>
            <w:r>
              <w:t>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BD2E7B">
              <w:rPr>
                <w:color w:val="0D0D0D" w:themeColor="text1" w:themeTint="F2"/>
              </w:rPr>
              <w:t>Петровская</w:t>
            </w:r>
            <w:r>
              <w:t>» до автом</w:t>
            </w:r>
            <w:r>
              <w:t>о</w:t>
            </w:r>
            <w:r>
              <w:t>бильной дороги «</w:t>
            </w:r>
            <w:r w:rsidR="00BD2E7B">
              <w:rPr>
                <w:color w:val="0D0D0D" w:themeColor="text1" w:themeTint="F2"/>
              </w:rPr>
              <w:t>Петровск</w:t>
            </w:r>
            <w:r w:rsidR="00804DEE">
              <w:rPr>
                <w:color w:val="0D0D0D" w:themeColor="text1" w:themeTint="F2"/>
              </w:rPr>
              <w:t>ое</w:t>
            </w:r>
            <w:r>
              <w:t xml:space="preserve"> шоссе», согласно действующим сводам правил и нормативной д</w:t>
            </w:r>
            <w:r>
              <w:t>о</w:t>
            </w:r>
            <w:r>
              <w:t>кументации. В ходе выполнения проектных и землеустроительных работ установл</w:t>
            </w:r>
            <w:r>
              <w:t>е</w:t>
            </w:r>
            <w:r>
              <w:t>но, что не представляется возможным спроектировать и реализовать Объект, не затр</w:t>
            </w:r>
            <w:r>
              <w:t>а</w:t>
            </w:r>
            <w:r>
              <w:t xml:space="preserve">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Прокладка газ</w:t>
            </w:r>
            <w:r>
              <w:t>о</w:t>
            </w:r>
            <w:r>
              <w:t>провода высокого давления, не затрагивая многоконтурный земельный участок с к</w:t>
            </w:r>
            <w:r>
              <w:t>а</w:t>
            </w:r>
            <w:r>
              <w:t xml:space="preserve">дастровым номером № </w:t>
            </w:r>
            <w:r w:rsidR="00C824F1">
              <w:t>23:00:0000000:0000</w:t>
            </w:r>
            <w:r>
              <w:t>, не предоставляется возможным. Альтернативного в</w:t>
            </w:r>
            <w:r>
              <w:t>а</w:t>
            </w:r>
            <w:r>
              <w:t>рианта прокладки газопровода нет, так как на земельном участке с кадастровым ном</w:t>
            </w:r>
            <w:r>
              <w:t>е</w:t>
            </w:r>
            <w:r>
              <w:t xml:space="preserve">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</w:t>
            </w:r>
            <w:r>
              <w:t>о</w:t>
            </w:r>
            <w:r>
              <w:t>воду высокого давления по Техническим условиям № 7169-31-П/20 от 15.10.2020. Уч</w:t>
            </w:r>
            <w:r>
              <w:t>и</w:t>
            </w:r>
            <w:r>
              <w:t>тывая это обстоятельство, проектом предусмотрено размещение газопровода на з</w:t>
            </w:r>
            <w:r>
              <w:t>е</w:t>
            </w:r>
            <w:r>
              <w:t xml:space="preserve">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</w:t>
            </w:r>
            <w:r>
              <w:t>и</w:t>
            </w:r>
            <w:r>
              <w:t>тельной техники на период строительства в пределах полосы отвода, кат</w:t>
            </w:r>
            <w:r>
              <w:t>е</w:t>
            </w:r>
            <w:r>
              <w:t xml:space="preserve">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BD2E7B" w:rsidRPr="00730DF7" w:rsidRDefault="00BD2E7B" w:rsidP="00BD2E7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Default="00BD2E7B" w:rsidP="00BD2E7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BD2E7B" w:rsidRPr="00730DF7" w:rsidRDefault="00BD2E7B" w:rsidP="00BD2E7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6F73A7" w:rsidRDefault="00BD2E7B" w:rsidP="00BD2E7B">
      <w:pPr>
        <w:widowControl w:val="0"/>
        <w:suppressAutoHyphens/>
        <w:ind w:right="-1"/>
        <w:jc w:val="both"/>
        <w:rPr>
          <w:sz w:val="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BD2E7B" w:rsidRPr="00730DF7" w:rsidRDefault="00BD2E7B" w:rsidP="00BD2E7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6F73A7" w:rsidRDefault="00BD2E7B" w:rsidP="00BD2E7B">
      <w:pPr>
        <w:widowControl w:val="0"/>
        <w:suppressAutoHyphens/>
        <w:ind w:right="-1"/>
        <w:jc w:val="both"/>
        <w:rPr>
          <w:sz w:val="16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BD2E7B">
        <w:rPr>
          <w:szCs w:val="28"/>
        </w:rPr>
        <w:t>Петровского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</w:t>
      </w:r>
      <w:r w:rsidR="00AF1054" w:rsidRPr="00AF1054">
        <w:rPr>
          <w:i/>
        </w:rPr>
        <w:t>о</w:t>
      </w:r>
      <w:r w:rsidR="00AF1054" w:rsidRPr="00AF1054">
        <w:rPr>
          <w:i/>
        </w:rPr>
        <w:t>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</w:t>
      </w:r>
      <w:r w:rsidR="00AF1054" w:rsidRPr="00AF1054">
        <w:rPr>
          <w:i/>
        </w:rPr>
        <w:t>у</w:t>
      </w:r>
      <w:r w:rsidR="00AF1054" w:rsidRPr="00AF1054">
        <w:rPr>
          <w:i/>
        </w:rPr>
        <w:t>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</w:t>
      </w:r>
      <w:r w:rsidR="00AF1054" w:rsidRPr="00AF1054">
        <w:rPr>
          <w:i/>
        </w:rPr>
        <w:t>и</w:t>
      </w:r>
      <w:r w:rsidR="00AF1054" w:rsidRPr="00AF1054">
        <w:rPr>
          <w:i/>
        </w:rPr>
        <w:t>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D2E7B" w:rsidRPr="00730DF7" w:rsidRDefault="00BD2E7B" w:rsidP="00BD2E7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Default="00BD2E7B" w:rsidP="00BD2E7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D2E7B" w:rsidRPr="00730DF7" w:rsidRDefault="00BD2E7B" w:rsidP="00BD2E7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Default="00BD2E7B" w:rsidP="00BD2E7B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BD2E7B" w:rsidRPr="00730DF7" w:rsidRDefault="00BD2E7B" w:rsidP="00BD2E7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Default="00BD2E7B" w:rsidP="00BD2E7B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BD2E7B">
        <w:rPr>
          <w:szCs w:val="28"/>
        </w:rPr>
        <w:t>Петровского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BD2E7B">
        <w:rPr>
          <w:szCs w:val="28"/>
        </w:rPr>
        <w:t>Петровского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D2E7B" w:rsidRPr="00730DF7" w:rsidRDefault="00BD2E7B" w:rsidP="00BD2E7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Default="00BD2E7B" w:rsidP="00BD2E7B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BD2E7B">
        <w:rPr>
          <w:szCs w:val="28"/>
        </w:rPr>
        <w:t>Петровского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>Данный от</w:t>
      </w:r>
      <w:bookmarkStart w:id="2" w:name="_GoBack"/>
      <w:bookmarkEnd w:id="2"/>
      <w:r w:rsidRPr="00220A26">
        <w:rPr>
          <w:bCs/>
          <w:szCs w:val="28"/>
        </w:rPr>
        <w:t xml:space="preserve">каз может быть обжалован в досудебном порядке путем направления жалобы в администрацию </w:t>
      </w:r>
      <w:r w:rsidR="00BD2E7B">
        <w:rPr>
          <w:szCs w:val="28"/>
        </w:rPr>
        <w:t>Петровского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D2E7B" w:rsidRPr="00730DF7" w:rsidRDefault="00BD2E7B" w:rsidP="00BD2E7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BD2E7B" w:rsidP="00BD2E7B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B8" w:rsidRDefault="00CF0DB8">
      <w:r>
        <w:separator/>
      </w:r>
    </w:p>
  </w:endnote>
  <w:endnote w:type="continuationSeparator" w:id="0">
    <w:p w:rsidR="00CF0DB8" w:rsidRDefault="00CF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B8" w:rsidRDefault="00CF0DB8">
      <w:r>
        <w:separator/>
      </w:r>
    </w:p>
  </w:footnote>
  <w:footnote w:type="continuationSeparator" w:id="0">
    <w:p w:rsidR="00CF0DB8" w:rsidRDefault="00CF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7215FD" w:rsidRDefault="007215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7B">
          <w:rPr>
            <w:noProof/>
          </w:rPr>
          <w:t>58</w:t>
        </w:r>
        <w:r>
          <w:fldChar w:fldCharType="end"/>
        </w:r>
      </w:p>
    </w:sdtContent>
  </w:sdt>
  <w:p w:rsidR="007215FD" w:rsidRDefault="007215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7215FD" w:rsidRDefault="007215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7B">
          <w:rPr>
            <w:noProof/>
          </w:rPr>
          <w:t>3</w:t>
        </w:r>
        <w:r>
          <w:fldChar w:fldCharType="end"/>
        </w:r>
      </w:p>
    </w:sdtContent>
  </w:sdt>
  <w:p w:rsidR="007215FD" w:rsidRDefault="007215FD">
    <w:pPr>
      <w:pStyle w:val="a4"/>
    </w:pPr>
  </w:p>
  <w:p w:rsidR="007215FD" w:rsidRDefault="007215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7215FD" w:rsidRDefault="007215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7B">
          <w:rPr>
            <w:noProof/>
          </w:rPr>
          <w:t>3</w:t>
        </w:r>
        <w:r>
          <w:fldChar w:fldCharType="end"/>
        </w:r>
      </w:p>
    </w:sdtContent>
  </w:sdt>
  <w:p w:rsidR="007215FD" w:rsidRDefault="007215FD">
    <w:pPr>
      <w:pStyle w:val="a4"/>
    </w:pPr>
  </w:p>
  <w:p w:rsidR="007215FD" w:rsidRDefault="007215F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7215FD" w:rsidRDefault="007215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7B">
          <w:rPr>
            <w:noProof/>
          </w:rPr>
          <w:t>3</w:t>
        </w:r>
        <w:r>
          <w:fldChar w:fldCharType="end"/>
        </w:r>
      </w:p>
    </w:sdtContent>
  </w:sdt>
  <w:p w:rsidR="007215FD" w:rsidRDefault="007215FD">
    <w:pPr>
      <w:pStyle w:val="a4"/>
    </w:pPr>
  </w:p>
  <w:p w:rsidR="007215FD" w:rsidRDefault="007215F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FD" w:rsidRDefault="007215FD">
    <w:pPr>
      <w:pStyle w:val="a4"/>
      <w:jc w:val="center"/>
    </w:pPr>
  </w:p>
  <w:p w:rsidR="007215FD" w:rsidRDefault="007215F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FD" w:rsidRDefault="007215FD">
    <w:pPr>
      <w:pStyle w:val="a4"/>
      <w:jc w:val="center"/>
    </w:pPr>
  </w:p>
  <w:p w:rsidR="007215FD" w:rsidRDefault="007215F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7215FD" w:rsidRDefault="007215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7B">
          <w:rPr>
            <w:noProof/>
          </w:rPr>
          <w:t>2</w:t>
        </w:r>
        <w:r>
          <w:fldChar w:fldCharType="end"/>
        </w:r>
      </w:p>
    </w:sdtContent>
  </w:sdt>
  <w:p w:rsidR="007215FD" w:rsidRPr="00C8100B" w:rsidRDefault="007215FD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FD" w:rsidRPr="002F171D" w:rsidRDefault="007215FD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7215FD" w:rsidRDefault="007215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7B">
          <w:rPr>
            <w:noProof/>
          </w:rPr>
          <w:t>2</w:t>
        </w:r>
        <w:r>
          <w:fldChar w:fldCharType="end"/>
        </w:r>
      </w:p>
    </w:sdtContent>
  </w:sdt>
  <w:p w:rsidR="007215FD" w:rsidRPr="00C8100B" w:rsidRDefault="007215FD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15FD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2E7B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0DB8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1DF7-9B8E-4B0E-BBD7-40DF560D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86</Pages>
  <Words>29012</Words>
  <Characters>165370</Characters>
  <Application>Microsoft Office Word</Application>
  <DocSecurity>0</DocSecurity>
  <Lines>1378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193995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2023-07-10T10:18:00Z</dcterms:modified>
</cp:coreProperties>
</file>