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426E03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426E03">
        <w:rPr>
          <w:sz w:val="28"/>
          <w:szCs w:val="28"/>
        </w:rPr>
        <w:t>Маевского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="00426E03">
        <w:rPr>
          <w:sz w:val="28"/>
          <w:szCs w:val="28"/>
        </w:rPr>
        <w:t>Коробова Л.С.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6E03">
        <w:rPr>
          <w:sz w:val="28"/>
          <w:szCs w:val="28"/>
        </w:rPr>
        <w:t>Маевского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426E03">
        <w:rPr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426E03">
        <w:rPr>
          <w:sz w:val="28"/>
          <w:szCs w:val="28"/>
        </w:rPr>
        <w:t>Коробову Л.С</w:t>
      </w:r>
      <w:r w:rsidRPr="00426E03">
        <w:rPr>
          <w:sz w:val="28"/>
          <w:szCs w:val="28"/>
        </w:rPr>
        <w:t>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426E03">
        <w:rPr>
          <w:sz w:val="28"/>
          <w:szCs w:val="28"/>
        </w:rPr>
        <w:t>Маевского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426E03">
        <w:rPr>
          <w:rFonts w:eastAsia="Calibri"/>
          <w:sz w:val="28"/>
          <w:szCs w:val="28"/>
        </w:rPr>
        <w:t>А.Е. Дмитриченко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426E03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Маевского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426E03" w:rsidRPr="00426E03">
        <w:rPr>
          <w:rFonts w:ascii="Times New Roman" w:hAnsi="Times New Roman" w:cs="Times New Roman"/>
          <w:sz w:val="28"/>
          <w:szCs w:val="28"/>
        </w:rPr>
        <w:t>Маевского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426E03" w:rsidRPr="00426E03">
        <w:rPr>
          <w:sz w:val="28"/>
          <w:szCs w:val="28"/>
        </w:rPr>
        <w:t>Маевского</w:t>
      </w:r>
      <w:r w:rsidRPr="00D76282">
        <w:rPr>
          <w:sz w:val="28"/>
          <w:szCs w:val="28"/>
        </w:rPr>
        <w:t xml:space="preserve"> сельского поселения Сл</w:t>
      </w:r>
      <w:r w:rsidRPr="00D76282">
        <w:rPr>
          <w:sz w:val="28"/>
          <w:szCs w:val="28"/>
        </w:rPr>
        <w:t>а</w:t>
      </w:r>
      <w:r w:rsidRPr="00D76282">
        <w:rPr>
          <w:sz w:val="28"/>
          <w:szCs w:val="28"/>
        </w:rPr>
        <w:t>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</w:t>
      </w:r>
      <w:r w:rsidR="003B01DE" w:rsidRPr="00D76282">
        <w:rPr>
          <w:color w:val="000000" w:themeColor="text1"/>
          <w:sz w:val="28"/>
          <w:szCs w:val="28"/>
        </w:rPr>
        <w:t>н</w:t>
      </w:r>
      <w:r w:rsidR="003B01DE" w:rsidRPr="00D76282">
        <w:rPr>
          <w:color w:val="000000" w:themeColor="text1"/>
          <w:sz w:val="28"/>
          <w:szCs w:val="28"/>
        </w:rPr>
        <w:t>трах предоставления государственных и муниципальных услуг Краснодарского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426E03" w:rsidRPr="00426E03">
        <w:rPr>
          <w:color w:val="000000" w:themeColor="text1"/>
          <w:sz w:val="28"/>
        </w:rPr>
        <w:t>adm-maevskoe.ru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426E03" w:rsidRPr="00426E03">
        <w:rPr>
          <w:sz w:val="28"/>
          <w:szCs w:val="28"/>
        </w:rPr>
        <w:t>Маевского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E6148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426E03" w:rsidRPr="00426E03">
        <w:rPr>
          <w:color w:val="000000" w:themeColor="text1"/>
          <w:sz w:val="28"/>
          <w:szCs w:val="28"/>
        </w:rPr>
        <w:t>gosuslugi.ru/</w:t>
      </w:r>
      <w:proofErr w:type="spellStart"/>
      <w:r w:rsidR="00426E03" w:rsidRPr="00426E03">
        <w:rPr>
          <w:color w:val="000000" w:themeColor="text1"/>
          <w:sz w:val="28"/>
          <w:szCs w:val="28"/>
        </w:rPr>
        <w:t>structure</w:t>
      </w:r>
      <w:proofErr w:type="spellEnd"/>
      <w:r w:rsidR="00426E03" w:rsidRPr="00426E03">
        <w:rPr>
          <w:color w:val="000000" w:themeColor="text1"/>
          <w:sz w:val="28"/>
          <w:szCs w:val="28"/>
        </w:rPr>
        <w:t>/2340200010003146762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426E03" w:rsidRPr="00426E03">
        <w:rPr>
          <w:color w:val="000000" w:themeColor="text1"/>
          <w:sz w:val="28"/>
          <w:szCs w:val="28"/>
        </w:rPr>
        <w:t>pgu.krasnodar.ru/</w:t>
      </w:r>
      <w:proofErr w:type="spellStart"/>
      <w:r w:rsidR="00426E03" w:rsidRPr="00426E03">
        <w:rPr>
          <w:color w:val="000000" w:themeColor="text1"/>
          <w:sz w:val="28"/>
          <w:szCs w:val="28"/>
        </w:rPr>
        <w:t>structure</w:t>
      </w:r>
      <w:proofErr w:type="spellEnd"/>
      <w:r w:rsidR="00426E03" w:rsidRPr="00426E03">
        <w:rPr>
          <w:color w:val="000000" w:themeColor="text1"/>
          <w:sz w:val="28"/>
          <w:szCs w:val="28"/>
        </w:rPr>
        <w:t>/</w:t>
      </w:r>
      <w:proofErr w:type="spellStart"/>
      <w:r w:rsidR="00426E03" w:rsidRPr="00426E03">
        <w:rPr>
          <w:color w:val="000000" w:themeColor="text1"/>
          <w:sz w:val="28"/>
          <w:szCs w:val="28"/>
        </w:rPr>
        <w:t>detail.php?orgID</w:t>
      </w:r>
      <w:proofErr w:type="spellEnd"/>
      <w:r w:rsidR="00426E03" w:rsidRPr="00426E03">
        <w:rPr>
          <w:color w:val="000000" w:themeColor="text1"/>
          <w:sz w:val="28"/>
          <w:szCs w:val="28"/>
        </w:rPr>
        <w:t>=162324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в </w:t>
      </w:r>
      <w:r w:rsidRPr="00E62E2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0D026C">
        <w:rPr>
          <w:sz w:val="28"/>
          <w:szCs w:val="26"/>
        </w:rPr>
        <w:lastRenderedPageBreak/>
        <w:t xml:space="preserve">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426E03" w:rsidRPr="00426E03">
        <w:rPr>
          <w:color w:val="000000" w:themeColor="text1"/>
          <w:sz w:val="28"/>
          <w:szCs w:val="28"/>
        </w:rPr>
        <w:t>slavyansk.ru/</w:t>
      </w:r>
      <w:proofErr w:type="spellStart"/>
      <w:r w:rsidR="00426E03" w:rsidRPr="00426E03">
        <w:rPr>
          <w:color w:val="000000" w:themeColor="text1"/>
          <w:sz w:val="28"/>
          <w:szCs w:val="28"/>
        </w:rPr>
        <w:t>article</w:t>
      </w:r>
      <w:proofErr w:type="spellEnd"/>
      <w:r w:rsidR="00426E03" w:rsidRPr="00426E03">
        <w:rPr>
          <w:color w:val="000000" w:themeColor="text1"/>
          <w:sz w:val="28"/>
          <w:szCs w:val="28"/>
        </w:rPr>
        <w:t>/a-3994.html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426E03" w:rsidRPr="00426E03">
        <w:rPr>
          <w:sz w:val="28"/>
          <w:szCs w:val="28"/>
        </w:rPr>
        <w:t>gosuslugi.ru/</w:t>
      </w:r>
      <w:proofErr w:type="spellStart"/>
      <w:r w:rsidR="00426E03" w:rsidRPr="00426E03">
        <w:rPr>
          <w:sz w:val="28"/>
          <w:szCs w:val="28"/>
        </w:rPr>
        <w:t>structure</w:t>
      </w:r>
      <w:proofErr w:type="spellEnd"/>
      <w:r w:rsidR="00426E03" w:rsidRPr="00426E03">
        <w:rPr>
          <w:sz w:val="28"/>
          <w:szCs w:val="28"/>
        </w:rPr>
        <w:t>/2340200010003146762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426E03" w:rsidRPr="00426E03">
        <w:rPr>
          <w:sz w:val="28"/>
          <w:szCs w:val="28"/>
        </w:rPr>
        <w:t>pgu.krasnodar.ru/</w:t>
      </w:r>
      <w:proofErr w:type="spellStart"/>
      <w:r w:rsidR="00426E03" w:rsidRPr="00426E03">
        <w:rPr>
          <w:sz w:val="28"/>
          <w:szCs w:val="28"/>
        </w:rPr>
        <w:t>structure</w:t>
      </w:r>
      <w:proofErr w:type="spellEnd"/>
      <w:r w:rsidR="00426E03" w:rsidRPr="00426E03">
        <w:rPr>
          <w:sz w:val="28"/>
          <w:szCs w:val="28"/>
        </w:rPr>
        <w:t>/</w:t>
      </w:r>
      <w:r w:rsidR="00426E03">
        <w:rPr>
          <w:sz w:val="28"/>
          <w:szCs w:val="28"/>
        </w:rPr>
        <w:t xml:space="preserve"> </w:t>
      </w:r>
      <w:proofErr w:type="spellStart"/>
      <w:r w:rsidR="00426E03" w:rsidRPr="00426E03">
        <w:rPr>
          <w:sz w:val="28"/>
          <w:szCs w:val="28"/>
        </w:rPr>
        <w:t>detail.php?orgID</w:t>
      </w:r>
      <w:proofErr w:type="spellEnd"/>
      <w:r w:rsidR="00426E03" w:rsidRPr="00426E03">
        <w:rPr>
          <w:sz w:val="28"/>
          <w:szCs w:val="28"/>
        </w:rPr>
        <w:t>=162324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lastRenderedPageBreak/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51B2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A13EF">
        <w:rPr>
          <w:sz w:val="28"/>
          <w:szCs w:val="28"/>
        </w:rPr>
        <w:lastRenderedPageBreak/>
        <w:t xml:space="preserve">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lastRenderedPageBreak/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2A13EF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A13EF">
        <w:rPr>
          <w:sz w:val="28"/>
          <w:szCs w:val="28"/>
        </w:rPr>
        <w:lastRenderedPageBreak/>
        <w:t xml:space="preserve">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A13EF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A13EF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A13EF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426E03">
        <w:rPr>
          <w:bCs/>
          <w:sz w:val="28"/>
          <w:szCs w:val="28"/>
        </w:rPr>
        <w:t>Маевского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согла</w:t>
      </w:r>
      <w:r w:rsidRPr="007F3F14">
        <w:rPr>
          <w:sz w:val="28"/>
          <w:szCs w:val="28"/>
        </w:rPr>
        <w:t>с</w:t>
      </w:r>
      <w:r w:rsidRPr="007F3F14">
        <w:rPr>
          <w:sz w:val="28"/>
          <w:szCs w:val="28"/>
        </w:rPr>
        <w:t>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документов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lastRenderedPageBreak/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426E03">
        <w:rPr>
          <w:bCs/>
          <w:sz w:val="28"/>
          <w:szCs w:val="28"/>
        </w:rPr>
        <w:t>Маевского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</w:t>
      </w:r>
      <w:r w:rsidRPr="002A6AE8">
        <w:rPr>
          <w:sz w:val="28"/>
          <w:szCs w:val="28"/>
        </w:rPr>
        <w:t>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426E03">
        <w:rPr>
          <w:bCs/>
          <w:sz w:val="28"/>
          <w:szCs w:val="28"/>
        </w:rPr>
        <w:t>Маевского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со</w:t>
      </w:r>
      <w:r w:rsidRPr="006374C0">
        <w:rPr>
          <w:sz w:val="28"/>
          <w:szCs w:val="28"/>
        </w:rPr>
        <w:t>гла</w:t>
      </w:r>
      <w:r w:rsidRPr="006374C0">
        <w:rPr>
          <w:sz w:val="28"/>
          <w:szCs w:val="28"/>
        </w:rPr>
        <w:t>с</w:t>
      </w:r>
      <w:r w:rsidRPr="006374C0">
        <w:rPr>
          <w:sz w:val="28"/>
          <w:szCs w:val="28"/>
        </w:rPr>
        <w:t xml:space="preserve">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Административного регламента с приложением документов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EF5153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</w:t>
      </w:r>
      <w:r w:rsidRPr="002A6AE8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EA3B07">
        <w:rPr>
          <w:bCs/>
          <w:color w:val="000000"/>
          <w:sz w:val="28"/>
          <w:szCs w:val="28"/>
        </w:rPr>
        <w:t>исправляет</w:t>
      </w:r>
      <w:r w:rsidR="00EA3B07">
        <w:rPr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26E03">
        <w:rPr>
          <w:bCs/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A50CAD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426E03">
        <w:rPr>
          <w:bCs/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Жалобы на решения и действия (бездействие) главы </w:t>
      </w:r>
      <w:r w:rsidR="00426E03">
        <w:rPr>
          <w:bCs/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426E03">
        <w:rPr>
          <w:bCs/>
          <w:sz w:val="28"/>
          <w:szCs w:val="28"/>
        </w:rPr>
        <w:t>М</w:t>
      </w:r>
      <w:r w:rsidR="00426E03">
        <w:rPr>
          <w:bCs/>
          <w:sz w:val="28"/>
          <w:szCs w:val="28"/>
        </w:rPr>
        <w:t>а</w:t>
      </w:r>
      <w:r w:rsidR="00426E03">
        <w:rPr>
          <w:bCs/>
          <w:sz w:val="28"/>
          <w:szCs w:val="28"/>
        </w:rPr>
        <w:t>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26E03">
        <w:rPr>
          <w:bCs/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426E03" w:rsidRPr="00426E03">
        <w:rPr>
          <w:sz w:val="28"/>
          <w:szCs w:val="28"/>
        </w:rPr>
        <w:t>adm-maevskoe.ru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426E03">
        <w:rPr>
          <w:bCs/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Жалоба на решения и действия (бездействие) Организаций, а также их </w:t>
      </w:r>
      <w:r w:rsidRPr="00A50CAD">
        <w:rPr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426E03">
        <w:rPr>
          <w:bCs/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426E03">
        <w:rPr>
          <w:bCs/>
          <w:sz w:val="28"/>
          <w:szCs w:val="28"/>
        </w:rPr>
        <w:t>Маевского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вянского района от </w:t>
      </w:r>
      <w:r w:rsidR="005C09D7" w:rsidRPr="000F58A0">
        <w:rPr>
          <w:sz w:val="28"/>
          <w:szCs w:val="28"/>
        </w:rPr>
        <w:t>21 ноября 2018 года № 137 «Об утверждении порядка под</w:t>
      </w:r>
      <w:r w:rsidR="005C09D7" w:rsidRPr="000F58A0">
        <w:rPr>
          <w:sz w:val="28"/>
          <w:szCs w:val="28"/>
        </w:rPr>
        <w:t>а</w:t>
      </w:r>
      <w:r w:rsidR="005C09D7" w:rsidRPr="000F58A0">
        <w:rPr>
          <w:sz w:val="28"/>
          <w:szCs w:val="28"/>
        </w:rPr>
        <w:t>чи и рассмотрения жалоб на решения и действия (бездействие) администрации Маевского сельского поселения Славянского района и ее должностных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A50CAD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09D7">
        <w:rPr>
          <w:bCs/>
          <w:sz w:val="28"/>
          <w:szCs w:val="28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9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="00E37AA0">
        <w:rPr>
          <w:sz w:val="28"/>
          <w:szCs w:val="28"/>
        </w:rPr>
        <w:t xml:space="preserve">        </w:t>
      </w:r>
      <w:r w:rsidR="005C09D7" w:rsidRPr="000F58A0">
        <w:rPr>
          <w:rFonts w:eastAsia="Calibri"/>
          <w:color w:val="000000"/>
          <w:sz w:val="28"/>
          <w:szCs w:val="28"/>
        </w:rPr>
        <w:t>А.Е. Дмитриченко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5C09D7" w:rsidRPr="005C09D7">
        <w:rPr>
          <w:bCs/>
          <w:szCs w:val="28"/>
        </w:rPr>
        <w:t>Маевского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5C09D7" w:rsidRPr="005C09D7">
        <w:rPr>
          <w:bCs/>
          <w:szCs w:val="28"/>
        </w:rPr>
        <w:t>Маевского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09D7" w:rsidRPr="005C09D7">
        <w:rPr>
          <w:bCs/>
          <w:sz w:val="28"/>
          <w:szCs w:val="28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 w:rsidR="005C09D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5C09D7">
        <w:rPr>
          <w:sz w:val="28"/>
          <w:szCs w:val="28"/>
        </w:rPr>
        <w:t xml:space="preserve">        </w:t>
      </w:r>
      <w:r w:rsidR="005C09D7" w:rsidRPr="000F58A0">
        <w:rPr>
          <w:rFonts w:eastAsia="Calibri"/>
          <w:color w:val="000000"/>
          <w:sz w:val="28"/>
          <w:szCs w:val="28"/>
        </w:rPr>
        <w:t>А.Е. Дмитриченко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5C09D7" w:rsidRPr="005C09D7">
        <w:rPr>
          <w:bCs/>
          <w:szCs w:val="28"/>
        </w:rPr>
        <w:t>Маевского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5C09D7" w:rsidRPr="005C09D7">
        <w:rPr>
          <w:color w:val="000000" w:themeColor="text1"/>
          <w:spacing w:val="-4"/>
          <w:szCs w:val="28"/>
          <w:u w:val="single"/>
          <w:lang w:eastAsia="ar-SA"/>
        </w:rPr>
        <w:t>х. Маевский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</w:t>
      </w:r>
      <w:r w:rsidR="005C09D7">
        <w:t>_______</w:t>
      </w:r>
      <w:r>
        <w:t>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5C09D7" w:rsidRPr="005C09D7">
        <w:rPr>
          <w:color w:val="000000" w:themeColor="text1"/>
          <w:spacing w:val="-4"/>
          <w:szCs w:val="28"/>
          <w:u w:val="single"/>
          <w:lang w:eastAsia="ar-SA"/>
        </w:rPr>
        <w:t>х. Маевский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___</w:t>
      </w:r>
      <w:r w:rsidR="005C09D7">
        <w:rPr>
          <w:u w:val="single"/>
        </w:rPr>
        <w:t>_______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5C09D7">
        <w:rPr>
          <w:color w:val="000000" w:themeColor="text1"/>
          <w:spacing w:val="-4"/>
          <w:szCs w:val="28"/>
          <w:lang w:eastAsia="ar-SA"/>
        </w:rPr>
        <w:t>Маевского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09D7" w:rsidRPr="005C09D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6E2CB6">
        <w:rPr>
          <w:sz w:val="28"/>
          <w:szCs w:val="28"/>
        </w:rPr>
        <w:t xml:space="preserve">        </w:t>
      </w:r>
      <w:r w:rsidR="005C09D7" w:rsidRPr="000F58A0">
        <w:rPr>
          <w:rFonts w:eastAsia="Calibri"/>
          <w:color w:val="000000"/>
          <w:sz w:val="28"/>
          <w:szCs w:val="28"/>
        </w:rPr>
        <w:t>А.Е. Дмитриченко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5C09D7" w:rsidRPr="005C09D7">
        <w:rPr>
          <w:color w:val="000000" w:themeColor="text1"/>
          <w:spacing w:val="-4"/>
          <w:szCs w:val="28"/>
          <w:lang w:eastAsia="ar-SA"/>
        </w:rPr>
        <w:t>Маевского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_____________________________________________</w:t>
      </w:r>
      <w:r w:rsidR="005C09D7">
        <w:rPr>
          <w:rFonts w:eastAsia="Calibri"/>
          <w:lang w:eastAsia="en-US"/>
        </w:rPr>
        <w:t>______</w:t>
      </w:r>
      <w:r w:rsidR="00094760" w:rsidRPr="00094760">
        <w:rPr>
          <w:rFonts w:eastAsia="Calibri"/>
          <w:lang w:eastAsia="en-US"/>
        </w:rPr>
        <w:t>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5C09D7" w:rsidRPr="005C09D7">
        <w:rPr>
          <w:color w:val="000000" w:themeColor="text1"/>
          <w:spacing w:val="-4"/>
          <w:szCs w:val="28"/>
          <w:lang w:eastAsia="ar-SA"/>
        </w:rPr>
        <w:t>Маевского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__________________________________________________________</w:t>
      </w:r>
      <w:r w:rsidR="005C09D7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09D7" w:rsidRPr="005C09D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5C09D7">
        <w:rPr>
          <w:sz w:val="28"/>
          <w:szCs w:val="28"/>
        </w:rPr>
        <w:t xml:space="preserve">        </w:t>
      </w:r>
      <w:r w:rsidR="005C09D7" w:rsidRPr="000F58A0">
        <w:rPr>
          <w:rFonts w:eastAsia="Calibri"/>
          <w:color w:val="000000"/>
          <w:sz w:val="28"/>
          <w:szCs w:val="28"/>
        </w:rPr>
        <w:t>А.Е. Дмитриченко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5C09D7" w:rsidRPr="005C09D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>. № _____),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5C09D7" w:rsidRPr="005C09D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C09D7" w:rsidRPr="005C09D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5C09D7">
        <w:rPr>
          <w:rFonts w:eastAsia="Calibri"/>
          <w:color w:val="000000" w:themeColor="text1"/>
          <w:sz w:val="28"/>
          <w:szCs w:val="28"/>
        </w:rPr>
        <w:t xml:space="preserve">                  </w:t>
      </w:r>
      <w:r w:rsidR="005C09D7" w:rsidRPr="000F58A0">
        <w:rPr>
          <w:rFonts w:eastAsia="Calibri"/>
          <w:color w:val="000000"/>
          <w:sz w:val="28"/>
          <w:szCs w:val="28"/>
        </w:rPr>
        <w:t>А.Е. Дмитриченко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42" w:rsidRDefault="00611842">
      <w:r>
        <w:separator/>
      </w:r>
    </w:p>
  </w:endnote>
  <w:endnote w:type="continuationSeparator" w:id="0">
    <w:p w:rsidR="00611842" w:rsidRDefault="0061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42" w:rsidRDefault="00611842">
      <w:r>
        <w:separator/>
      </w:r>
    </w:p>
  </w:footnote>
  <w:footnote w:type="continuationSeparator" w:id="0">
    <w:p w:rsidR="00611842" w:rsidRDefault="0061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03" w:rsidRDefault="00426E0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26E03" w:rsidRDefault="00426E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03" w:rsidRDefault="00426E03" w:rsidP="00CA23A6">
    <w:pPr>
      <w:pStyle w:val="a4"/>
      <w:framePr w:wrap="around" w:vAnchor="text" w:hAnchor="margin" w:xAlign="center" w:y="1"/>
      <w:rPr>
        <w:rStyle w:val="afb"/>
      </w:rPr>
    </w:pPr>
  </w:p>
  <w:p w:rsidR="00426E03" w:rsidRPr="00E546B1" w:rsidRDefault="00426E0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E03" w:rsidRPr="00E546B1" w:rsidRDefault="00426E0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26E03" w:rsidRPr="00E546B1" w:rsidRDefault="00426E0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03" w:rsidRDefault="00426E03">
    <w:pPr>
      <w:pStyle w:val="a4"/>
      <w:jc w:val="center"/>
    </w:pPr>
  </w:p>
  <w:p w:rsidR="00426E03" w:rsidRDefault="00426E0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426E03" w:rsidRDefault="00426E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07">
          <w:rPr>
            <w:noProof/>
          </w:rPr>
          <w:t>36</w:t>
        </w:r>
        <w:r>
          <w:fldChar w:fldCharType="end"/>
        </w:r>
      </w:p>
    </w:sdtContent>
  </w:sdt>
  <w:p w:rsidR="00426E03" w:rsidRDefault="00426E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03" w:rsidRDefault="00426E03">
    <w:pPr>
      <w:pStyle w:val="a4"/>
      <w:jc w:val="center"/>
    </w:pPr>
  </w:p>
  <w:p w:rsidR="00426E03" w:rsidRDefault="00426E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426E03" w:rsidRDefault="00426E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07">
          <w:rPr>
            <w:noProof/>
          </w:rPr>
          <w:t>2</w:t>
        </w:r>
        <w:r>
          <w:fldChar w:fldCharType="end"/>
        </w:r>
      </w:p>
    </w:sdtContent>
  </w:sdt>
  <w:p w:rsidR="00426E03" w:rsidRDefault="00426E0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426E03" w:rsidRDefault="00426E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07">
          <w:rPr>
            <w:noProof/>
          </w:rPr>
          <w:t>2</w:t>
        </w:r>
        <w:r>
          <w:fldChar w:fldCharType="end"/>
        </w:r>
      </w:p>
    </w:sdtContent>
  </w:sdt>
  <w:p w:rsidR="00426E03" w:rsidRDefault="00426E03">
    <w:pPr>
      <w:pStyle w:val="a4"/>
    </w:pPr>
  </w:p>
  <w:p w:rsidR="00426E03" w:rsidRDefault="00426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0D6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26E03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09D7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1842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B0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153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FCA6-B465-4B94-9214-BF994A6E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20343</Words>
  <Characters>115960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136031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2022-05-06T06:58:00Z</dcterms:created>
  <dcterms:modified xsi:type="dcterms:W3CDTF">2022-05-06T11:23:00Z</dcterms:modified>
</cp:coreProperties>
</file>