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232B41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07 декабря 2018 года № </w:t>
      </w:r>
      <w:r w:rsidR="00232B41">
        <w:rPr>
          <w:color w:val="000000" w:themeColor="text1"/>
          <w:sz w:val="28"/>
          <w:szCs w:val="28"/>
        </w:rPr>
        <w:t>220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</w:t>
      </w:r>
      <w:r w:rsidR="00232B41">
        <w:rPr>
          <w:color w:val="000000" w:themeColor="text1"/>
          <w:sz w:val="28"/>
          <w:szCs w:val="28"/>
        </w:rPr>
        <w:t>20</w:t>
      </w:r>
      <w:r w:rsidRPr="00FD6057">
        <w:rPr>
          <w:color w:val="000000" w:themeColor="text1"/>
          <w:sz w:val="28"/>
          <w:szCs w:val="28"/>
        </w:rPr>
        <w:t xml:space="preserve"> июля 2020 года № </w:t>
      </w:r>
      <w:r w:rsidR="00232B41">
        <w:rPr>
          <w:color w:val="000000" w:themeColor="text1"/>
          <w:sz w:val="28"/>
          <w:szCs w:val="28"/>
        </w:rPr>
        <w:t>108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новление администрации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</w:t>
      </w:r>
      <w:r w:rsidR="00232B41">
        <w:rPr>
          <w:color w:val="000000" w:themeColor="text1"/>
          <w:sz w:val="28"/>
          <w:szCs w:val="28"/>
        </w:rPr>
        <w:t>220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32B4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32B4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32B4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Черноерковского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232B4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32B4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232B41">
        <w:rPr>
          <w:rFonts w:eastAsia="Calibri"/>
          <w:color w:val="000000" w:themeColor="text1"/>
          <w:sz w:val="28"/>
          <w:szCs w:val="28"/>
        </w:rPr>
        <w:tab/>
        <w:t xml:space="preserve">   Н.П. Друз</w:t>
      </w:r>
      <w:r w:rsidR="00232B41">
        <w:rPr>
          <w:rFonts w:eastAsia="Calibri"/>
          <w:color w:val="000000" w:themeColor="text1"/>
          <w:sz w:val="28"/>
          <w:szCs w:val="28"/>
        </w:rPr>
        <w:t>я</w:t>
      </w:r>
      <w:r w:rsidR="00232B41">
        <w:rPr>
          <w:rFonts w:eastAsia="Calibri"/>
          <w:color w:val="000000" w:themeColor="text1"/>
          <w:sz w:val="28"/>
          <w:szCs w:val="28"/>
        </w:rPr>
        <w:t>ка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232B41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232B41">
        <w:rPr>
          <w:color w:val="000000" w:themeColor="text1"/>
          <w:sz w:val="28"/>
          <w:szCs w:val="28"/>
          <w:lang w:eastAsia="ar-SA"/>
        </w:rPr>
        <w:t>Черноерковского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232B41" w:rsidRPr="00232B41">
        <w:rPr>
          <w:color w:val="000000" w:themeColor="text1"/>
          <w:sz w:val="28"/>
        </w:rPr>
        <w:t>chernoer.ru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232B41" w:rsidRPr="00232B41">
        <w:rPr>
          <w:color w:val="000000" w:themeColor="text1"/>
          <w:sz w:val="28"/>
          <w:szCs w:val="28"/>
        </w:rPr>
        <w:t>gosuslugi.ru/</w:t>
      </w:r>
      <w:proofErr w:type="spellStart"/>
      <w:r w:rsidR="00232B41" w:rsidRPr="00232B41">
        <w:rPr>
          <w:color w:val="000000" w:themeColor="text1"/>
          <w:sz w:val="28"/>
          <w:szCs w:val="28"/>
        </w:rPr>
        <w:t>structure</w:t>
      </w:r>
      <w:proofErr w:type="spellEnd"/>
      <w:r w:rsidR="00232B41" w:rsidRPr="00232B41">
        <w:rPr>
          <w:color w:val="000000" w:themeColor="text1"/>
          <w:sz w:val="28"/>
          <w:szCs w:val="28"/>
        </w:rPr>
        <w:t>/2340200010003149797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232B41" w:rsidRPr="00232B41">
        <w:rPr>
          <w:color w:val="000000" w:themeColor="text1"/>
          <w:sz w:val="28"/>
          <w:szCs w:val="28"/>
        </w:rPr>
        <w:t>pgu.krasnodar.ru/</w:t>
      </w:r>
      <w:proofErr w:type="spellStart"/>
      <w:r w:rsidR="00232B41" w:rsidRPr="00232B41">
        <w:rPr>
          <w:color w:val="000000" w:themeColor="text1"/>
          <w:sz w:val="28"/>
          <w:szCs w:val="28"/>
        </w:rPr>
        <w:t>structure</w:t>
      </w:r>
      <w:proofErr w:type="spellEnd"/>
      <w:r w:rsidR="00232B41" w:rsidRPr="00232B41">
        <w:rPr>
          <w:color w:val="000000" w:themeColor="text1"/>
          <w:sz w:val="28"/>
          <w:szCs w:val="28"/>
        </w:rPr>
        <w:t>/</w:t>
      </w:r>
      <w:proofErr w:type="spellStart"/>
      <w:r w:rsidR="00232B41" w:rsidRPr="00232B41">
        <w:rPr>
          <w:color w:val="000000" w:themeColor="text1"/>
          <w:sz w:val="28"/>
          <w:szCs w:val="28"/>
        </w:rPr>
        <w:t>detail.php?orgID</w:t>
      </w:r>
      <w:proofErr w:type="spellEnd"/>
      <w:r w:rsidR="00232B41" w:rsidRPr="00232B41">
        <w:rPr>
          <w:color w:val="000000" w:themeColor="text1"/>
          <w:sz w:val="28"/>
          <w:szCs w:val="28"/>
        </w:rPr>
        <w:t>=160154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32B41" w:rsidRPr="00232B41">
        <w:rPr>
          <w:color w:val="000000" w:themeColor="text1"/>
          <w:sz w:val="28"/>
          <w:szCs w:val="28"/>
        </w:rPr>
        <w:t>slavyansk.ru/</w:t>
      </w:r>
      <w:proofErr w:type="spellStart"/>
      <w:r w:rsidR="00232B41" w:rsidRPr="00232B41">
        <w:rPr>
          <w:color w:val="000000" w:themeColor="text1"/>
          <w:sz w:val="28"/>
          <w:szCs w:val="28"/>
        </w:rPr>
        <w:t>article</w:t>
      </w:r>
      <w:proofErr w:type="spellEnd"/>
      <w:r w:rsidR="00232B41" w:rsidRPr="00232B41">
        <w:rPr>
          <w:color w:val="000000" w:themeColor="text1"/>
          <w:sz w:val="28"/>
          <w:szCs w:val="28"/>
        </w:rPr>
        <w:t>/a-2475.html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232B41" w:rsidRPr="00232B41">
        <w:rPr>
          <w:color w:val="000000" w:themeColor="text1"/>
          <w:sz w:val="28"/>
          <w:szCs w:val="28"/>
        </w:rPr>
        <w:t>gosuslugi.ru/</w:t>
      </w:r>
      <w:proofErr w:type="spellStart"/>
      <w:r w:rsidR="00232B41" w:rsidRPr="00232B41">
        <w:rPr>
          <w:color w:val="000000" w:themeColor="text1"/>
          <w:sz w:val="28"/>
          <w:szCs w:val="28"/>
        </w:rPr>
        <w:t>structure</w:t>
      </w:r>
      <w:proofErr w:type="spellEnd"/>
      <w:r w:rsidR="00232B41" w:rsidRPr="00232B41">
        <w:rPr>
          <w:color w:val="000000" w:themeColor="text1"/>
          <w:sz w:val="28"/>
          <w:szCs w:val="28"/>
        </w:rPr>
        <w:t>/2340200010003149797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232B41" w:rsidRPr="00232B41">
        <w:rPr>
          <w:color w:val="000000" w:themeColor="text1"/>
          <w:sz w:val="28"/>
          <w:szCs w:val="28"/>
        </w:rPr>
        <w:t>pgu.krasnodar.ru/</w:t>
      </w:r>
      <w:proofErr w:type="spellStart"/>
      <w:r w:rsidR="00232B41" w:rsidRPr="00232B41">
        <w:rPr>
          <w:color w:val="000000" w:themeColor="text1"/>
          <w:sz w:val="28"/>
          <w:szCs w:val="28"/>
        </w:rPr>
        <w:t>structure</w:t>
      </w:r>
      <w:proofErr w:type="spellEnd"/>
      <w:r w:rsidR="00232B41" w:rsidRPr="00232B41">
        <w:rPr>
          <w:color w:val="000000" w:themeColor="text1"/>
          <w:sz w:val="28"/>
          <w:szCs w:val="28"/>
        </w:rPr>
        <w:t>/</w:t>
      </w:r>
      <w:proofErr w:type="spellStart"/>
      <w:r w:rsidR="00232B41" w:rsidRPr="00232B41">
        <w:rPr>
          <w:color w:val="000000" w:themeColor="text1"/>
          <w:sz w:val="28"/>
          <w:szCs w:val="28"/>
        </w:rPr>
        <w:t>detail.php?orgID</w:t>
      </w:r>
      <w:proofErr w:type="spellEnd"/>
      <w:r w:rsidR="00232B41" w:rsidRPr="00232B41">
        <w:rPr>
          <w:color w:val="000000" w:themeColor="text1"/>
          <w:sz w:val="28"/>
          <w:szCs w:val="28"/>
        </w:rPr>
        <w:t>=160154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ные системы в установленном Правительством Российской Федерации порядке </w:t>
      </w:r>
      <w:r w:rsidRPr="00FD6057">
        <w:rPr>
          <w:color w:val="000000" w:themeColor="text1"/>
          <w:sz w:val="28"/>
          <w:szCs w:val="28"/>
        </w:rPr>
        <w:lastRenderedPageBreak/>
        <w:t>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</w:t>
      </w:r>
      <w:r w:rsidRPr="00FD6057">
        <w:rPr>
          <w:color w:val="000000" w:themeColor="text1"/>
          <w:sz w:val="28"/>
          <w:szCs w:val="28"/>
        </w:rPr>
        <w:lastRenderedPageBreak/>
        <w:t xml:space="preserve">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lastRenderedPageBreak/>
        <w:t xml:space="preserve">ги документе на подпись главе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FD6057">
        <w:rPr>
          <w:bCs/>
          <w:color w:val="000000" w:themeColor="text1"/>
          <w:sz w:val="28"/>
          <w:szCs w:val="28"/>
        </w:rPr>
        <w:t>ь</w:t>
      </w:r>
      <w:r w:rsidRPr="00FD6057">
        <w:rPr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232B41">
        <w:rPr>
          <w:bCs/>
          <w:color w:val="000000" w:themeColor="text1"/>
          <w:sz w:val="28"/>
          <w:szCs w:val="28"/>
        </w:rPr>
        <w:t>Черноерковского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</w:t>
      </w:r>
      <w:r w:rsidR="0042766A" w:rsidRPr="00FD6057">
        <w:rPr>
          <w:bCs/>
          <w:color w:val="000000" w:themeColor="text1"/>
          <w:sz w:val="28"/>
          <w:szCs w:val="28"/>
        </w:rPr>
        <w:t>ь</w:t>
      </w:r>
      <w:r w:rsidR="0042766A" w:rsidRPr="00FD6057">
        <w:rPr>
          <w:bCs/>
          <w:color w:val="000000" w:themeColor="text1"/>
          <w:sz w:val="28"/>
          <w:szCs w:val="28"/>
        </w:rPr>
        <w:t>ского п</w:t>
      </w:r>
      <w:r w:rsidR="0042766A" w:rsidRPr="00FD6057">
        <w:rPr>
          <w:bCs/>
          <w:color w:val="000000" w:themeColor="text1"/>
          <w:sz w:val="28"/>
          <w:szCs w:val="28"/>
        </w:rPr>
        <w:t>о</w:t>
      </w:r>
      <w:r w:rsidR="0042766A" w:rsidRPr="00FD6057">
        <w:rPr>
          <w:bCs/>
          <w:color w:val="000000" w:themeColor="text1"/>
          <w:sz w:val="28"/>
          <w:szCs w:val="28"/>
        </w:rPr>
        <w:t>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FD6057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32B41">
        <w:rPr>
          <w:color w:val="000000" w:themeColor="text1"/>
          <w:sz w:val="28"/>
          <w:szCs w:val="28"/>
        </w:rPr>
        <w:t>Черноерко</w:t>
      </w:r>
      <w:r w:rsidR="00232B41">
        <w:rPr>
          <w:color w:val="000000" w:themeColor="text1"/>
          <w:sz w:val="28"/>
          <w:szCs w:val="28"/>
        </w:rPr>
        <w:t>в</w:t>
      </w:r>
      <w:r w:rsidR="00232B41">
        <w:rPr>
          <w:color w:val="000000" w:themeColor="text1"/>
          <w:sz w:val="28"/>
          <w:szCs w:val="28"/>
        </w:rPr>
        <w:t>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FD6057">
        <w:rPr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</w:t>
      </w:r>
      <w:r w:rsidRPr="00FD6057">
        <w:rPr>
          <w:color w:val="000000" w:themeColor="text1"/>
          <w:sz w:val="28"/>
          <w:szCs w:val="28"/>
        </w:rPr>
        <w:lastRenderedPageBreak/>
        <w:t>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232B41" w:rsidRPr="00232B41">
        <w:rPr>
          <w:color w:val="000000" w:themeColor="text1"/>
          <w:sz w:val="28"/>
        </w:rPr>
        <w:t>chernoer.ru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32B41">
        <w:rPr>
          <w:color w:val="000000" w:themeColor="text1"/>
          <w:sz w:val="28"/>
          <w:szCs w:val="28"/>
        </w:rPr>
        <w:t>Черноерковск</w:t>
      </w:r>
      <w:r w:rsidR="00232B41">
        <w:rPr>
          <w:color w:val="000000" w:themeColor="text1"/>
          <w:sz w:val="28"/>
          <w:szCs w:val="28"/>
        </w:rPr>
        <w:t>о</w:t>
      </w:r>
      <w:r w:rsidR="00232B41">
        <w:rPr>
          <w:color w:val="000000" w:themeColor="text1"/>
          <w:sz w:val="28"/>
          <w:szCs w:val="28"/>
        </w:rPr>
        <w:t>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</w:t>
      </w:r>
      <w:r w:rsidR="00ED3942" w:rsidRPr="00FD6057">
        <w:rPr>
          <w:color w:val="000000" w:themeColor="text1"/>
          <w:sz w:val="28"/>
          <w:szCs w:val="28"/>
        </w:rPr>
        <w:t>е</w:t>
      </w:r>
      <w:r w:rsidR="00ED3942" w:rsidRPr="00FD6057">
        <w:rPr>
          <w:color w:val="000000" w:themeColor="text1"/>
          <w:sz w:val="28"/>
          <w:szCs w:val="28"/>
        </w:rPr>
        <w:t>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232B41">
        <w:rPr>
          <w:color w:val="000000" w:themeColor="text1"/>
          <w:sz w:val="28"/>
          <w:szCs w:val="28"/>
        </w:rPr>
        <w:t>22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232B41">
        <w:rPr>
          <w:color w:val="000000" w:themeColor="text1"/>
          <w:sz w:val="28"/>
          <w:szCs w:val="28"/>
        </w:rPr>
        <w:t>194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</w:t>
      </w:r>
      <w:r w:rsidR="00E07AB8" w:rsidRPr="00FD6057">
        <w:rPr>
          <w:color w:val="000000" w:themeColor="text1"/>
          <w:sz w:val="28"/>
          <w:szCs w:val="28"/>
        </w:rPr>
        <w:t>о</w:t>
      </w:r>
      <w:r w:rsidR="00E07AB8" w:rsidRPr="00FD6057">
        <w:rPr>
          <w:color w:val="000000" w:themeColor="text1"/>
          <w:sz w:val="28"/>
          <w:szCs w:val="28"/>
        </w:rPr>
        <w:t>рядка 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E07AB8" w:rsidRPr="00FD6057">
        <w:rPr>
          <w:color w:val="000000" w:themeColor="text1"/>
          <w:sz w:val="28"/>
          <w:szCs w:val="28"/>
        </w:rPr>
        <w:t>д</w:t>
      </w:r>
      <w:r w:rsidR="00E07AB8" w:rsidRPr="00FD6057">
        <w:rPr>
          <w:color w:val="000000" w:themeColor="text1"/>
          <w:sz w:val="28"/>
          <w:szCs w:val="28"/>
        </w:rPr>
        <w:t>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232B41">
        <w:rPr>
          <w:color w:val="000000" w:themeColor="text1"/>
          <w:sz w:val="28"/>
          <w:szCs w:val="28"/>
        </w:rPr>
        <w:t>Черноерковского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E07AB8" w:rsidRPr="00FD6057">
        <w:rPr>
          <w:color w:val="000000" w:themeColor="text1"/>
          <w:sz w:val="28"/>
          <w:szCs w:val="28"/>
        </w:rPr>
        <w:t>ж</w:t>
      </w:r>
      <w:r w:rsidR="00E07AB8" w:rsidRPr="00FD6057">
        <w:rPr>
          <w:color w:val="000000" w:themeColor="text1"/>
          <w:sz w:val="28"/>
          <w:szCs w:val="28"/>
        </w:rPr>
        <w:t>ностных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lastRenderedPageBreak/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ab/>
        <w:t xml:space="preserve">   Н.П. Друзяка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232B41">
        <w:rPr>
          <w:rFonts w:eastAsia="Calibri"/>
          <w:color w:val="000000" w:themeColor="text1"/>
          <w:sz w:val="28"/>
          <w:szCs w:val="28"/>
        </w:rPr>
        <w:t>Черноерковского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232B41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Н.П. Друзяке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 xml:space="preserve">    Н.П. Друзяка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232B41">
        <w:rPr>
          <w:rFonts w:eastAsia="Calibri"/>
          <w:color w:val="000000" w:themeColor="text1"/>
          <w:sz w:val="28"/>
          <w:szCs w:val="28"/>
        </w:rPr>
        <w:t>Черноерковского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232B41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Н.П. Друзяке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ab/>
        <w:t xml:space="preserve">   Н.П. Друз</w:t>
      </w:r>
      <w:r w:rsidR="00232B41">
        <w:rPr>
          <w:color w:val="000000" w:themeColor="text1"/>
          <w:sz w:val="28"/>
          <w:szCs w:val="28"/>
        </w:rPr>
        <w:t>я</w:t>
      </w:r>
      <w:r w:rsidR="00232B41">
        <w:rPr>
          <w:color w:val="000000" w:themeColor="text1"/>
          <w:sz w:val="28"/>
          <w:szCs w:val="28"/>
        </w:rPr>
        <w:t>ка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232B41">
        <w:rPr>
          <w:color w:val="000000" w:themeColor="text1"/>
        </w:rPr>
        <w:t>Н.П. Друзяка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ab/>
        <w:t xml:space="preserve">   Н.П. Друз</w:t>
      </w:r>
      <w:r w:rsidR="00232B41">
        <w:rPr>
          <w:color w:val="000000" w:themeColor="text1"/>
          <w:sz w:val="28"/>
          <w:szCs w:val="28"/>
        </w:rPr>
        <w:t>я</w:t>
      </w:r>
      <w:r w:rsidR="00232B41">
        <w:rPr>
          <w:color w:val="000000" w:themeColor="text1"/>
          <w:sz w:val="28"/>
          <w:szCs w:val="28"/>
        </w:rPr>
        <w:t>ка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232B41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ст. Черноерковская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232B41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232B41">
        <w:rPr>
          <w:color w:val="000000" w:themeColor="text1"/>
        </w:rPr>
        <w:t>Н.П. Друзяка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 xml:space="preserve">    Н.П. Друзяка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bookmarkStart w:id="8" w:name="_GoBack"/>
      <w:bookmarkEnd w:id="8"/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</w:t>
      </w:r>
      <w:r w:rsidRPr="00FD6057">
        <w:rPr>
          <w:color w:val="000000" w:themeColor="text1"/>
          <w:szCs w:val="28"/>
        </w:rPr>
        <w:t>с</w:t>
      </w:r>
      <w:r w:rsidRPr="00FD6057">
        <w:rPr>
          <w:color w:val="000000" w:themeColor="text1"/>
          <w:szCs w:val="28"/>
        </w:rPr>
        <w:t>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232B41">
        <w:rPr>
          <w:color w:val="000000" w:themeColor="text1"/>
        </w:rPr>
        <w:t>Черноерковского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232B41">
        <w:rPr>
          <w:color w:val="000000" w:themeColor="text1"/>
        </w:rPr>
        <w:t>Н.П. Друзяка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232B41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232B41">
        <w:rPr>
          <w:color w:val="000000" w:themeColor="text1"/>
          <w:sz w:val="28"/>
          <w:szCs w:val="28"/>
        </w:rPr>
        <w:tab/>
        <w:t xml:space="preserve">   Н.П. Друз</w:t>
      </w:r>
      <w:r w:rsidR="00232B41">
        <w:rPr>
          <w:color w:val="000000" w:themeColor="text1"/>
          <w:sz w:val="28"/>
          <w:szCs w:val="28"/>
        </w:rPr>
        <w:t>я</w:t>
      </w:r>
      <w:r w:rsidR="00232B41">
        <w:rPr>
          <w:color w:val="000000" w:themeColor="text1"/>
          <w:sz w:val="28"/>
          <w:szCs w:val="28"/>
        </w:rPr>
        <w:t>ка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C9" w:rsidRDefault="000D4BC9">
      <w:r>
        <w:separator/>
      </w:r>
    </w:p>
  </w:endnote>
  <w:endnote w:type="continuationSeparator" w:id="0">
    <w:p w:rsidR="000D4BC9" w:rsidRDefault="000D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C9" w:rsidRDefault="000D4BC9">
      <w:r>
        <w:separator/>
      </w:r>
    </w:p>
  </w:footnote>
  <w:footnote w:type="continuationSeparator" w:id="0">
    <w:p w:rsidR="000D4BC9" w:rsidRDefault="000D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32B41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0D594D" wp14:editId="6727BA1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2B4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2B4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41">
          <w:rPr>
            <w:noProof/>
          </w:rPr>
          <w:t>8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41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32B4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32B4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BC9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4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0A6A-B6B6-4FFF-82EF-2CFDF76B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52</Pages>
  <Words>18465</Words>
  <Characters>105251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123470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2021-02-17T14:14:00Z</dcterms:modified>
</cp:coreProperties>
</file>