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2" w:rsidRPr="00BB0DB2" w:rsidRDefault="005A3CA4" w:rsidP="005A3C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</w:t>
      </w:r>
    </w:p>
    <w:p w:rsidR="00BB0DB2" w:rsidRP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0DB2" w:rsidRP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3CA4" w:rsidRPr="00BB0DB2" w:rsidRDefault="005A3CA4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B0DB2" w:rsidRPr="00BB0DB2" w:rsidRDefault="00BB0DB2" w:rsidP="00BB0D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B0DB2" w:rsidRPr="00BB0DB2" w:rsidRDefault="00BB0DB2" w:rsidP="00BB0DB2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0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BB0D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B0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B0DB2" w:rsidRPr="00BB0DB2" w:rsidRDefault="00BB0DB2" w:rsidP="00BB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DB2" w:rsidRPr="00BB0DB2" w:rsidRDefault="00BB0DB2" w:rsidP="00BB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DB2" w:rsidRPr="00BB0DB2" w:rsidRDefault="00BB0DB2" w:rsidP="00BB0DB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BB0DB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руководствуясь 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рации», 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5 ноября 2014 года № 3039-КЗ «О з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креплении за сельскими поселениями Краснодарского края вопросов местного значения», решением 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пятой сессией Совета муниципального образования Сл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вянский район от 03 февраля 2016 года № 12 «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муниципальным о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разованием Славянский район от Славянского городского поселения полном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в сфере архитектурной и градостроительной деятельности»,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B0DB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ставом адм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B0DB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муниципального образования Славянский район</w:t>
      </w:r>
      <w:r w:rsidRPr="00BB0DB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 о с т а н о в л я ю:</w:t>
      </w:r>
    </w:p>
    <w:p w:rsidR="00BB0DB2" w:rsidRPr="00BB0DB2" w:rsidRDefault="00BB0DB2" w:rsidP="00BB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согласно прилож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нию к настоящему постановлению.</w:t>
      </w:r>
    </w:p>
    <w:p w:rsidR="00BB0DB2" w:rsidRPr="00BB0DB2" w:rsidRDefault="00BB0DB2" w:rsidP="00BB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B0DB2" w:rsidRPr="00BB0DB2" w:rsidRDefault="00BB0DB2" w:rsidP="00BB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Признать утратившим силу 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муниципал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Славянский район от 04 июля 2016 года № 1056 «Об утве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ждении административного регламента предоставления муниципальной услуги «Выдача акта освидетельствования проведения основных работ по строител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BB0D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ству  (реконструкции) объекта индивидуального жилищного строительства с привлечением  средств материнского (семейного) капитала»;</w:t>
      </w:r>
    </w:p>
    <w:p w:rsidR="00BB0DB2" w:rsidRPr="00BB0DB2" w:rsidRDefault="00BB0DB2" w:rsidP="00BB0D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4. Контроль за выполнением настоящего постановления возложить на з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местителя главы муниципального образования Славянский район (</w:t>
      </w:r>
      <w:r w:rsidRPr="00BB0D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вопросы строительства, архитектуры и градостроительства) Т.А. Берсеневу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0DB2" w:rsidRPr="00BB0DB2" w:rsidRDefault="00BB0DB2" w:rsidP="00BB0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BB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B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обнародования</w:t>
      </w:r>
      <w:r w:rsidRPr="00BB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0DB2" w:rsidRPr="00BB0DB2" w:rsidRDefault="00BB0DB2" w:rsidP="00BB0DB2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BB0DB2" w:rsidRPr="00BB0DB2" w:rsidRDefault="00BB0DB2" w:rsidP="00BB0DB2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BB0DB2" w:rsidRPr="00BB0DB2" w:rsidRDefault="00BB0DB2" w:rsidP="00BB0DB2">
      <w:pPr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</w:pPr>
      <w:r w:rsidRPr="00BB0DB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5A3CA4" w:rsidRDefault="00BB0DB2" w:rsidP="000434B4">
      <w:pPr>
        <w:widowControl w:val="0"/>
        <w:spacing w:after="0" w:line="240" w:lineRule="auto"/>
        <w:outlineLvl w:val="0"/>
      </w:pPr>
      <w:r w:rsidRPr="00BB0DB2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BB0DB2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Pr="005A3CA4" w:rsidRDefault="005A3CA4" w:rsidP="005A3CA4"/>
    <w:p w:rsidR="005A3CA4" w:rsidRDefault="005A3CA4" w:rsidP="005A3CA4"/>
    <w:p w:rsidR="00A65903" w:rsidRDefault="00A65903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/>
    <w:p w:rsidR="005A3CA4" w:rsidRDefault="005A3CA4" w:rsidP="005A3CA4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sub_52"/>
    </w:p>
    <w:p w:rsidR="005A3CA4" w:rsidRPr="005A3CA4" w:rsidRDefault="005A3CA4" w:rsidP="005A3CA4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5A3CA4" w:rsidRPr="005A3CA4" w:rsidRDefault="005A3CA4" w:rsidP="005A3CA4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3CA4" w:rsidRPr="005A3CA4" w:rsidRDefault="005A3CA4" w:rsidP="005A3CA4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5A3CA4" w:rsidRPr="005A3CA4" w:rsidRDefault="005A3CA4" w:rsidP="005A3CA4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A3CA4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5A3CA4" w:rsidRPr="005A3CA4" w:rsidRDefault="005A3CA4" w:rsidP="005A3CA4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A3CA4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5A3CA4" w:rsidRPr="005A3CA4" w:rsidRDefault="005A3CA4" w:rsidP="005A3CA4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A3CA4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5A3CA4" w:rsidRPr="005A3CA4" w:rsidRDefault="005A3CA4" w:rsidP="005A3CA4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A3CA4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_________</w:t>
      </w:r>
      <w:r w:rsidRPr="005A3CA4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____</w:t>
      </w:r>
      <w:bookmarkStart w:id="1" w:name="_GoBack"/>
      <w:bookmarkEnd w:id="1"/>
    </w:p>
    <w:p w:rsidR="005A3CA4" w:rsidRPr="005A3CA4" w:rsidRDefault="005A3CA4" w:rsidP="005A3CA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CA4" w:rsidRPr="005A3CA4" w:rsidRDefault="005A3CA4" w:rsidP="005A3CA4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5A3CA4" w:rsidRPr="005A3CA4" w:rsidRDefault="005A3CA4" w:rsidP="005A3CA4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муниципальной услуги </w:t>
      </w:r>
    </w:p>
    <w:p w:rsidR="005A3CA4" w:rsidRPr="005A3CA4" w:rsidRDefault="005A3CA4" w:rsidP="005A3CA4">
      <w:pPr>
        <w:widowControl w:val="0"/>
        <w:shd w:val="clear" w:color="auto" w:fill="FFFFFF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A3CA4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A3CA4" w:rsidRPr="005A3CA4" w:rsidRDefault="005A3CA4" w:rsidP="005A3CA4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" w:name="sub_51"/>
      <w:r w:rsidRPr="005A3CA4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val="en-US" w:eastAsia="ru-RU"/>
        </w:rPr>
        <w:t>I</w:t>
      </w:r>
      <w:r w:rsidRPr="005A3CA4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. Общие положения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Административный регламент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 «Выдача акта освидетельствования проведения основных работ по строител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 (реконструкции) объекта индивидуального жилищного строительства с привлечением средств материнского (семейного) капитала» (далее - Админ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«Выдача акта освидетельствования проведения основных работ по строительству (реко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струкции) объекта индивидуального жилищного строительства с привлечением средств материнского (семейного) капитала» (далее – Муниципальная услуга) и определяет сроки и последовательность действий (административных проц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дур) при предоставлении Муниципальной услуги.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bookmarkEnd w:id="2"/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Получателями Муниципальной услуги (далее – заявителями) могут 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ляться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получившие государственный сертификат на матери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капитал и осуществляющие работы по строительству (реконструкции) объекта индивидуального жилищного строительства на территории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 (далее - заявитель)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их пре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ставители в установленном законом порядке.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Порядок получения информации заявителями по вопросам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.pgu.krasnodar.ru) (далее – Региональный портал).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ется: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Славя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(далее – Администрация);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5A3CA4" w:rsidRPr="005A3CA4" w:rsidRDefault="005A3CA4" w:rsidP="005A3CA4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 и т.д.);</w:t>
      </w:r>
    </w:p>
    <w:p w:rsidR="005A3CA4" w:rsidRPr="005A3CA4" w:rsidRDefault="005A3CA4" w:rsidP="005A3CA4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ществляется: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МФЦ;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sub_216"/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полнота информации;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4" w:name="sub_217"/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" w:name="sub_218"/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письменного информирования.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6" w:name="sub_219"/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трудниками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личном обращении;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телефону.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 информирования.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A3CA4" w:rsidRPr="005A3CA4" w:rsidRDefault="005A3CA4" w:rsidP="005A3CA4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www.slavyansk.ru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5A3CA4" w:rsidRPr="005A3CA4" w:rsidRDefault="005A3CA4" w:rsidP="005A3CA4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Порядок, форма, место размещения и способы получения справочной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(https://pgu.krasnodar.ru/structure/detail.php?orgID=158512) размещается сл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дующая информация: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инициативе;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круг заявителей;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срок предоставления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ские средства заявителя требует заключения лицензионного или иного согл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персональных данных.</w:t>
      </w:r>
    </w:p>
    <w:p w:rsidR="005A3CA4" w:rsidRPr="005A3CA4" w:rsidRDefault="005A3CA4" w:rsidP="005A3CA4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5A3CA4" w:rsidRPr="005A3CA4" w:rsidRDefault="005A3CA4" w:rsidP="005A3CA4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5A3CA4" w:rsidRPr="005A3CA4" w:rsidRDefault="005A3CA4" w:rsidP="005A3CA4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A3CA4" w:rsidRPr="005A3CA4" w:rsidRDefault="005A3CA4" w:rsidP="005A3CA4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A3CA4" w:rsidRPr="005A3CA4" w:rsidRDefault="005A3CA4" w:rsidP="005A3CA4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5A3CA4" w:rsidRPr="005A3CA4" w:rsidRDefault="005A3CA4" w:rsidP="005A3CA4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5A3CA4" w:rsidRPr="005A3CA4" w:rsidRDefault="005A3CA4" w:rsidP="005A3CA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Наименование Муниципальной услуги - «Выдача акта освидетельств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проведения основных работ по строительству (реконструкции) объекта индивидуального жилищного строительства с привлечением средств матери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(семейного) капитала».</w:t>
      </w:r>
    </w:p>
    <w:p w:rsidR="005A3CA4" w:rsidRPr="005A3CA4" w:rsidRDefault="005A3CA4" w:rsidP="005A3CA4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архитектуры администрации муниципального образования Славянский район (далее – Управление).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участвуют: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межмуниципальный отдел по Славянскому, Калининскому и Красноа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мейскому районам Управления Росреестра по Краснодарскому краю (далее - Росреестр)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ГУП КК «Крайтехинвентаризация - Краевое БТИ» по городу Славянску-на-Кубани и Славянскому району (далее – Краевое БТИ);</w:t>
      </w:r>
    </w:p>
    <w:p w:rsidR="005A3CA4" w:rsidRPr="005A3CA4" w:rsidRDefault="005A3CA4" w:rsidP="005A3CA4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 по экстерриториальному принципу.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1) акт освидетельствования проведения основных работ по строительству (реконструкции) объекта индивидуального жилищного строительства, ос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ществляемому с привлечением средств материнского (семейного) капитала (д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лее - Акт освидетельствования);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отказе в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Муниципальной услуги завершается путём вы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дачи заявителю: </w:t>
      </w:r>
    </w:p>
    <w:p w:rsidR="005A3CA4" w:rsidRPr="005A3CA4" w:rsidRDefault="005A3CA4" w:rsidP="005A3CA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Акта освидетельствования;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уведомления об отказе в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5A3CA4">
        <w:rPr>
          <w:rFonts w:ascii="Times New Roman" w:eastAsia="Times New Roman" w:hAnsi="Times New Roman" w:cs="Times New Roman"/>
          <w:sz w:val="28"/>
          <w:szCs w:val="26"/>
          <w:lang w:eastAsia="ru-RU"/>
        </w:rPr>
        <w:t>3.2.4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настоящего Административного регл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мента.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 в Администрацию.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срок предоставления Муниципальной услуги составляет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раб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чих дней со дня поступления заявления.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услуги, составляет 3 рабочих дня.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 Нормативные правовые акты, регулирующие предоставление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(slavyansk.ru/article/a-1556.html),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odar.ru/structure/detail.php?orgID=158512).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5408"/>
        <w:gridCol w:w="1829"/>
        <w:gridCol w:w="2055"/>
      </w:tblGrid>
      <w:tr w:rsidR="005A3CA4" w:rsidRPr="005A3CA4" w:rsidTr="005F7A4E">
        <w:trPr>
          <w:trHeight w:val="390"/>
        </w:trPr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Тип документа (оригинал, копия)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A3CA4" w:rsidRPr="005A3CA4" w:rsidTr="005F7A4E">
        <w:trPr>
          <w:trHeight w:val="101"/>
        </w:trPr>
        <w:tc>
          <w:tcPr>
            <w:tcW w:w="0" w:type="auto"/>
            <w:gridSpan w:val="4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предоставляемые заявителем:</w:t>
            </w:r>
          </w:p>
        </w:tc>
      </w:tr>
      <w:tr w:rsidR="005A3CA4" w:rsidRPr="005A3CA4" w:rsidTr="005F7A4E">
        <w:trPr>
          <w:trHeight w:val="435"/>
        </w:trPr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hyperlink r:id="rId8" w:history="1">
              <w:r w:rsidRPr="005A3CA4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аявление</w:t>
              </w:r>
            </w:hyperlink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 xml:space="preserve"> о выдаче акта освидетельствования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Для использования в работе</w:t>
            </w:r>
          </w:p>
        </w:tc>
      </w:tr>
      <w:tr w:rsidR="005A3CA4" w:rsidRPr="005A3CA4" w:rsidTr="005F7A4E">
        <w:trPr>
          <w:trHeight w:val="435"/>
        </w:trPr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bCs/>
                <w:lang w:eastAsia="ar-SA"/>
              </w:rPr>
              <w:t>Документ</w:t>
            </w:r>
            <w:r w:rsidRPr="005A3CA4">
              <w:rPr>
                <w:rFonts w:ascii="Times New Roman" w:eastAsia="Times New Roman" w:hAnsi="Times New Roman" w:cs="Times New Roman"/>
                <w:lang w:eastAsia="ar-SA"/>
              </w:rPr>
              <w:t>, удостоверяющий личность заявителя (пре</w:t>
            </w:r>
            <w:r w:rsidRPr="005A3CA4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5A3CA4">
              <w:rPr>
                <w:rFonts w:ascii="Times New Roman" w:eastAsia="Times New Roman" w:hAnsi="Times New Roman" w:cs="Times New Roman"/>
                <w:lang w:eastAsia="ar-SA"/>
              </w:rPr>
              <w:t>ставителя заявителя)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CA4" w:rsidRPr="005A3CA4" w:rsidTr="005F7A4E">
        <w:trPr>
          <w:trHeight w:val="435"/>
        </w:trPr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Доверенность, оформленная в установленном</w:t>
            </w:r>
          </w:p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действующим законодательством порядке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В случае обращения представителя з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явителя</w:t>
            </w:r>
          </w:p>
        </w:tc>
      </w:tr>
      <w:tr w:rsidR="005A3CA4" w:rsidRPr="005A3CA4" w:rsidTr="005F7A4E">
        <w:trPr>
          <w:trHeight w:val="435"/>
        </w:trPr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Государственный сертификат на материнский (семе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ный) капитал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Для снятия копии</w:t>
            </w:r>
          </w:p>
        </w:tc>
      </w:tr>
      <w:tr w:rsidR="005A3CA4" w:rsidRPr="005A3CA4" w:rsidTr="005F7A4E">
        <w:trPr>
          <w:trHeight w:val="185"/>
        </w:trPr>
        <w:tc>
          <w:tcPr>
            <w:tcW w:w="0" w:type="auto"/>
            <w:gridSpan w:val="4"/>
            <w:vAlign w:val="center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5A3CA4" w:rsidRPr="005A3CA4" w:rsidTr="005F7A4E">
        <w:trPr>
          <w:trHeight w:val="953"/>
        </w:trPr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Единого государственного реестра </w:t>
            </w:r>
            <w:r w:rsidRPr="005A3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недв</w:t>
            </w:r>
            <w:r w:rsidRPr="005A3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</w:t>
            </w:r>
            <w:r w:rsidRPr="005A3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жимости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CA4" w:rsidRPr="005A3CA4" w:rsidTr="005F7A4E"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Разрешение на строительство (реконструкцию) объекта индивидуального жилищного строительства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CA4" w:rsidRPr="005A3CA4" w:rsidTr="005F7A4E">
        <w:tc>
          <w:tcPr>
            <w:tcW w:w="0" w:type="auto"/>
            <w:vAlign w:val="center"/>
          </w:tcPr>
          <w:p w:rsidR="005A3CA4" w:rsidRPr="005A3CA4" w:rsidRDefault="005A3CA4" w:rsidP="005A3C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</w:tc>
        <w:tc>
          <w:tcPr>
            <w:tcW w:w="5408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Уведомление о допустимости размещения объекта и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3CA4">
              <w:rPr>
                <w:rFonts w:ascii="Times New Roman" w:eastAsia="Times New Roman" w:hAnsi="Times New Roman" w:cs="Times New Roman"/>
                <w:lang w:eastAsia="ru-RU"/>
              </w:rPr>
              <w:t>дивидуального жилищного строительства или садового дома</w:t>
            </w:r>
          </w:p>
        </w:tc>
        <w:tc>
          <w:tcPr>
            <w:tcW w:w="1829" w:type="dxa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lang w:eastAsia="ru-RU"/>
              </w:rPr>
            </w:pPr>
            <w:r w:rsidRPr="005A3CA4">
              <w:rPr>
                <w:rFonts w:ascii="Times New Roman" w:eastAsia="Arial CYR" w:hAnsi="Times New Roman" w:cs="Times New Roman"/>
                <w:lang w:eastAsia="ru-RU"/>
              </w:rPr>
              <w:t>Оригинал</w:t>
            </w:r>
          </w:p>
        </w:tc>
        <w:tc>
          <w:tcPr>
            <w:tcW w:w="0" w:type="auto"/>
          </w:tcPr>
          <w:p w:rsidR="005A3CA4" w:rsidRPr="005A3CA4" w:rsidRDefault="005A3CA4" w:rsidP="005A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5A3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изменение требований нормативных правовых актов, касающихся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муниципальной услуги, после первоначальной подачи заявл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</w:p>
    <w:p w:rsidR="005A3CA4" w:rsidRPr="005A3CA4" w:rsidRDefault="005A3CA4" w:rsidP="005A3CA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A3CA4" w:rsidRPr="005A3CA4" w:rsidRDefault="005A3CA4" w:rsidP="005A3CA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5A3CA4" w:rsidRPr="005A3CA4" w:rsidRDefault="005A3CA4" w:rsidP="005A3CA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A3CA4" w:rsidRPr="005A3CA4" w:rsidRDefault="005A3CA4" w:rsidP="005A3CA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одного из документов, указанных в пункте 2.6 настоящего 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нены органами и организациями, участвующими в процессе оказания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пальных услуг;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ненадлежащего лица;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шей основанием для отказа.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ванием Регионального портала: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и документы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представление документов с нарушением требований, установленных в п.2.6 настоящего административного регламента, и (или) требований, устано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ленных федеральным законодательством;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выявление в представленных документах недостоверной или искаженной информации;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в случае,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в случае, если в ходе освидетельствования проведения работ по реко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струкции объекта индивидуального жилищного строительства будет устано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лено, что в результате таких работ общая площадь жилого помещения не ув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sz w:val="28"/>
          <w:szCs w:val="28"/>
          <w:lang w:eastAsia="ru-RU"/>
        </w:rPr>
        <w:t>поступление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- до снятия ареста или запрета в порядке, установленном законодательством;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определения или решения суда о наложении ареста (запрета) на совершение действий - на срок, установленный судом.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Отказ в предоставлении Муниципальной услуги не препятствует повто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каза.</w:t>
      </w:r>
    </w:p>
    <w:p w:rsidR="005A3CA4" w:rsidRPr="005A3CA4" w:rsidRDefault="005A3CA4" w:rsidP="005A3C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t>2.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A3CA4" w:rsidRPr="005A3CA4" w:rsidRDefault="005A3CA4" w:rsidP="005A3C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 не взимается.</w:t>
      </w:r>
    </w:p>
    <w:p w:rsidR="005A3CA4" w:rsidRPr="005A3CA4" w:rsidRDefault="005A3CA4" w:rsidP="005A3CA4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предоставляемой организацией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5A3CA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2.13. 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изводится 1 (один) раз в день. </w:t>
      </w:r>
    </w:p>
    <w:p w:rsidR="005A3CA4" w:rsidRPr="005A3CA4" w:rsidRDefault="005A3CA4" w:rsidP="005A3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случае, если для получения муниципальных услуг, указанных в ко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страцией.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2.14.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щих Муниципальную услугу.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можности их размещения в помещении.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2.14.3. 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Российской Федерации о социальной защите инвалидов, в том числе обеспечиваются: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сопровождение инвалидов, имеющих стойкие расстройства функции зр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чение и выдаваемого по форме и в порядке, которые определяются федерал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нию в сфере социальной защиты населения;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формат листа А4; текст – прописные буквы, ра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платная парковка для автомобильного транспорта посетителей, в том числе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предусматривающая места для специальных автотранспортных средств инв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лидов.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электронном виде,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являются: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в любом МФЦ 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действием экстерритор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принципа;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условия ожидания приема;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lastRenderedPageBreak/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A3CA4" w:rsidRPr="005A3CA4" w:rsidRDefault="005A3CA4" w:rsidP="005A3CA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два раза</w:t>
      </w:r>
      <w:r w:rsidRPr="005A3CA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Администрации не превышает 15 минут.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5A3CA4" w:rsidRPr="005A3CA4" w:rsidRDefault="005A3CA4" w:rsidP="005A3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A3CA4" w:rsidRPr="005A3CA4" w:rsidRDefault="005A3CA4" w:rsidP="005A3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5A3CA4" w:rsidRPr="005A3CA4" w:rsidRDefault="005A3CA4" w:rsidP="005A3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5A3CA4" w:rsidRPr="005A3CA4" w:rsidRDefault="005A3CA4" w:rsidP="005A3CA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 заявление и каждый прилагаемый к нему документ подписываются заявит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A3CA4" w:rsidRPr="005A3CA4" w:rsidRDefault="005A3CA4" w:rsidP="005A3C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физическим лицом, удостоверяется усиленной квалифицирова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ципальных услуг (функций) (Региональном портале) за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явителю предоставляе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возможность копирования формы заявления (прило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жения № 1 к настоящему регламенту) для дальнейшего его заполнения в элек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тронном виде и распечатки.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в МФЦ осуществляются бесплатно.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 графиком работы МФЦ.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тившимся в МФЦ для получения Муниципальной услуги.</w:t>
      </w:r>
    </w:p>
    <w:p w:rsidR="005A3CA4" w:rsidRPr="005A3CA4" w:rsidRDefault="005A3CA4" w:rsidP="005A3CA4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A3CA4" w:rsidRPr="005A3CA4" w:rsidRDefault="005A3CA4" w:rsidP="005A3CA4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A3CA4" w:rsidRPr="005A3CA4" w:rsidRDefault="005A3CA4" w:rsidP="005A3CA4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A3CA4" w:rsidRPr="005A3CA4" w:rsidRDefault="005A3CA4" w:rsidP="005A3CA4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5A3CA4" w:rsidRPr="005A3CA4" w:rsidRDefault="005A3CA4" w:rsidP="005A3CA4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5A3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A3CA4" w:rsidRPr="005A3CA4" w:rsidRDefault="005A3CA4" w:rsidP="005A3C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A3CA4" w:rsidRPr="005A3CA4" w:rsidRDefault="005A3CA4" w:rsidP="005A3C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регламента с приложением документов согласно пункту 2.6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установленной формы в получении от заявителя документов с указанием их 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 15 минут.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(вопросы строительства, арх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 и градостроительства).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 поступившее заявление, при необходимости выполняет межведомственные запросы;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проверку наличия документов, необходимых для принятия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шения о выдаче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акта освидетельствования проведения основных работ по стр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в установленном порядке осмотр объекта индивидуального 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обследовании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ствуемого объекта. По результатам осмотра объекта индивидуального жили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строительства составляется Акт освидетельствования по форме, утве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жденной Министерством строительства и жилищно-коммунального хозяйства Российской Федерации (согласно приложения 5 к настоящему регламенту).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Акт освидетельствования и передает на согласование и подписание должностному лицу Администрации, уполномоченному на подписание Акта освидетельств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Акт освидетельствования возвращается специалисту Упра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освидетельствования;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административной процедуры –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наличие подписанного в установленном порядке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 освидетельствования или уведомления об отказе в предоставлении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соответствии с выбором заявителя способа п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 выдает (направл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освидетельствования или уведомление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кумента, подписанного усиленной квалифицированной электронной подписью, по адресу электронной почты.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отправление, то специалист Управл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ния обеспечивает направление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уведомления об отказе в предоставлении Муниципальной услуги заказным письмом с уведо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заявителю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 или уведомление об отказе в предоставлении Муниципальной услуги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A3CA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 Управления, ответственного за выдачу документов.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подписанного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или уведомления об отказе в предоставлении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административной процедуры – 3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дня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тельствования или уведомления об отказе в предоставлении Муниципальной услуги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5A3CA4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5A3CA4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5A3CA4" w:rsidRPr="005A3CA4" w:rsidRDefault="005A3CA4" w:rsidP="005A3CA4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A4" w:rsidRPr="005A3CA4" w:rsidRDefault="005A3CA4" w:rsidP="005A3C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чты, заявителю необходимо отправить на адрес электронной почты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5A3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5A3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заявление и иные документы, указанные пункте </w:t>
      </w:r>
      <w:hyperlink r:id="rId9" w:history="1">
        <w:r w:rsidRPr="005A3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заявления). Уведомление о получении заявл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</w:t>
      </w:r>
      <w:r w:rsidRPr="005A3C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законодательством требуе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A3CA4" w:rsidRPr="005A3CA4" w:rsidRDefault="005A3CA4" w:rsidP="005A3CA4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CA4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5A3CA4" w:rsidRPr="005A3CA4" w:rsidRDefault="005A3CA4" w:rsidP="005A3CA4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(вопросы строительства, арх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 и градостроительства).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5A3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рассматривает поступившее заявление, при необходимости выполняет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межведомственные запросы;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проверку наличия документов, необходимых для принятия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шения о выдаче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акта освидетельствования проведения основных работ по стр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в установленном порядке осмотр объекта индивидуального 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обследовании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ствуемого объекта. По результатам осмотра объекта индивидуального жили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строительства составляется Акт освидетельствования по форме, утве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жденной Министерством строительства и жилищно-коммунального хозяйства Российской Федерации (согласно приложения 5 к настоящему регламенту).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Акт освидетельствования и передает на согласование и подписание должностному лицу Администрации, уполномоченному на подписание Акта освидетельств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Акт освидетельствования возвращается специалисту Упра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освидетельствования;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административной процедуры –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наличие подписанного в установленном порядке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уведомления об отказе в предоставлении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предоставления Муниципальной услуги заявитель по его выбору вправе получить: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срока действия результата предоставления Муниципальной услуги.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или уведомления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лицу для подписания усиленной квалифицированной электронной подп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сью.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уведомления об отказе в предоставлении Мун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должностному лицу для подписания усиленной квалифицированной эле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подписью и направления в МФЦ.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обеспечивает заверение экземпляра электронного документа на бума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сителе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подписанного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или уведомления об отказе в предоставлении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тельствования или уведомления об отказе в предоставлении Муниципальной услуги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A4" w:rsidRPr="005A3CA4" w:rsidRDefault="005A3CA4" w:rsidP="005A3C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Запись на прием в МФЦ проводится посредством Регионального портала, официального сайта.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5A3C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5A3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5A3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5A3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максимальный срок приема документов не может превышать 15 минут.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A3CA4" w:rsidRPr="005A3CA4" w:rsidRDefault="005A3CA4" w:rsidP="005A3CA4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(вопросы строительства, арх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 и градостроительства).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(вопросы строительства, архитектуры и градостроительства) через Общий отдел в порядке делопроизводства поступает в Управление.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5A3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ция заявителя и прием документов».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 поступившее заявление, при необходимости выполняет межведомственные запросы;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проверку наличия документов, необходимых для принятия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шения о выдаче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акта освидетельствования проведения основных работ по стр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в установленном порядке осмотр объекта индивидуального 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обследовании освидетел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ствуемого объекта. По результатам осмотра объекта индивидуального жили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строительства составляется Акт освидетельствования по форме, утве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жденной Министерством строительства и жилищно-коммунального хозяйства Российской Федерации (согласно приложения 5 к настоящему регламенту).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Акт освидетельствования и передает на согласование и подписание должностному лицу Администрации, уполномоченному на подписание Акта освидетельств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Акт освидетельствования возвращается специалисту Упра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A3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писанное начальником Управления уведомление об отказе в предоставлении Муниципальной услуги регистрируется и передается специалисту Управления для вручения заявителю.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освидетельствования;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административной процедуры –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рабочих дня. </w:t>
      </w:r>
    </w:p>
    <w:p w:rsidR="005A3CA4" w:rsidRPr="005A3CA4" w:rsidRDefault="005A3CA4" w:rsidP="005A3C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ной процедуры, является наличие подписанного в установленном порядке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уведомления об отказе в предоставлении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A3CA4" w:rsidRPr="005A3CA4" w:rsidRDefault="005A3CA4" w:rsidP="005A3CA4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 или уведомление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A3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CA4" w:rsidRPr="005A3CA4" w:rsidRDefault="005A3CA4" w:rsidP="005A3CA4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3.4. </w:t>
      </w:r>
      <w:r w:rsidRPr="005A3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освидетельствования или уведомлении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- выданный в результате предоставления Муниципальной услуги документ) я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ляется получение Администрацией заявления об исправлении технической ошибки.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ляет: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ошибки;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дается в Администрацию.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стом Общего отдела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его поступления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направляется в установленном порядке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заместителю главы муниципального образования Славянский район (вопросы строительства, архитектуры и градостроительства)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Заявление с резолюцией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заместителя главы муниципального образования Славянский район (вопросы строительства, архитектуры и градостроительства)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порядке делопроизводства поступает в Управление.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наличие Технической ошибки.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соответствии с пунктом 3.1.3. настоящего Административного регламента.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 на подпись должностному лицу.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Управления: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вывает время совершения данного действия;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ставителя;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выдает заявителю или направляет 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бом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освидетельствования/уведомление об отказе в предоставлении Мун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либо уведомление об отсутствии Технической ошибки в 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данном в результате предоставления Муниципальной услуги документе.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лении Технической ошибки.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Результатом выполнения административной процедуры является выдача заявителю: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ставления Муниципальной услуги документе -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уведомления об отказе в предоставлении Муниципальной услуги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пальной услуги документе.</w:t>
      </w:r>
    </w:p>
    <w:p w:rsidR="005A3CA4" w:rsidRPr="005A3CA4" w:rsidRDefault="005A3CA4" w:rsidP="005A3CA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дуры.</w:t>
      </w:r>
    </w:p>
    <w:bookmarkEnd w:id="0"/>
    <w:p w:rsidR="005A3CA4" w:rsidRPr="005A3CA4" w:rsidRDefault="005A3CA4" w:rsidP="005A3CA4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IV</w:t>
      </w:r>
      <w:r w:rsidRPr="005A3CA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Порядок осуществления текущего контроля за соблюдением и испо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контроль за соблюдением последовательности действий, опред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плановых и внеплановых проверок, в целях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лении Муниципальной услуги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матическая проверка). 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плановых и внеплановых проверок: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нистративных процедур;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проверки осуществляются 1 (один) раз в год.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 предоставления государственных и муниципальных услуг», и прин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маются меры по устранению нарушений.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Должностные лица, муниципальные служащие, ответственные за пред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полнения административных процедур.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Положения, характеризующие требования к порядку и формам ко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выявленных нарушений прав граждан;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5A3CA4" w:rsidRPr="005A3CA4" w:rsidRDefault="005A3CA4" w:rsidP="005A3CA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формы контроля за деятельностью администрации при предоста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Муниципальной услуги.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стоянным, всесторонним, объективным и эффективным.</w:t>
      </w:r>
    </w:p>
    <w:p w:rsidR="005A3CA4" w:rsidRPr="005A3CA4" w:rsidRDefault="005A3CA4" w:rsidP="005A3CA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осуществляющие контроль за предоставлением Мун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5A3CA4" w:rsidRPr="005A3CA4" w:rsidRDefault="005A3CA4" w:rsidP="005A3CA4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</w:t>
      </w: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5A3CA4" w:rsidRPr="005A3CA4" w:rsidRDefault="005A3CA4" w:rsidP="005A3CA4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3CA4" w:rsidRPr="005A3CA4" w:rsidRDefault="005A3CA4" w:rsidP="005A3CA4">
      <w:pPr>
        <w:keepNext/>
        <w:keepLines/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муниципальных служащих, </w:t>
      </w:r>
      <w:r w:rsidRPr="005A3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действия (бездействие) Администрации, предоставляющей муниципал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5A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ганизаций, осуществляющих функции по предоставлению государственных или муниципальных услуг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действующим законодательством. 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услуги. В указанном случае досуде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 совершение надписей или иных юр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 В указанном случае досудебное (внесудебное) обжалование заявит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в полном объеме, включая принятие решения о предоставлении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совершение надписей или иных юридически значимых действий, являющи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 В указанном случае досуде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 услуги либо совершение надп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www.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.ru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5A3C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лица Администрации, муниципального служащего, главы Администрации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направлена по почте, через МФЦ, с использованием информацио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администрации мун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5A3CA4" w:rsidRPr="005A3CA4" w:rsidRDefault="005A3CA4" w:rsidP="005A3CA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 по результатам рассмотрения жалобы направляется заявителю не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не подлежащей удовлетворению в ответе з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Право заявителя на получение информации и документов, необход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5A3CA4" w:rsidRPr="005A3CA4" w:rsidRDefault="005A3CA4" w:rsidP="005A3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A3CA4" w:rsidRPr="005A3CA4" w:rsidRDefault="005A3CA4" w:rsidP="005A3C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5A3CA4" w:rsidRPr="005A3CA4" w:rsidRDefault="005A3CA4" w:rsidP="005A3CA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A3CA4" w:rsidRPr="005A3CA4" w:rsidRDefault="005A3CA4" w:rsidP="005A3CA4">
      <w:pPr>
        <w:keepNext/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установления в ходе или по результатам рассмотрения ж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5A3CA4" w:rsidRPr="005A3CA4" w:rsidRDefault="005A3CA4" w:rsidP="005A3CA4">
      <w:pPr>
        <w:keepNext/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5A3CA4" w:rsidRPr="005A3CA4" w:rsidRDefault="005A3CA4" w:rsidP="005A3CA4">
      <w:pPr>
        <w:keepNext/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5A3CA4" w:rsidRPr="005A3CA4" w:rsidRDefault="005A3CA4" w:rsidP="005A3CA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архитектуры,</w:t>
      </w:r>
    </w:p>
    <w:p w:rsidR="005A3CA4" w:rsidRPr="005A3CA4" w:rsidRDefault="005A3CA4" w:rsidP="005A3CA4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A3CA4" w:rsidRPr="005A3CA4" w:rsidSect="00BD5676">
          <w:headerReference w:type="default" r:id="rId17"/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81"/>
        </w:sectPr>
      </w:pPr>
      <w:r w:rsidRPr="005A3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архитектор                                                                          А.С. Андрусенко 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800" w:firstLine="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A3CA4" w:rsidRPr="005A3CA4" w:rsidRDefault="005A3CA4" w:rsidP="005A3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3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5A3CA4" w:rsidRPr="005A3CA4" w:rsidRDefault="005A3CA4" w:rsidP="005A3CA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ff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5A3CA4" w:rsidRPr="005A3CA4" w:rsidTr="005F7A4E">
        <w:tc>
          <w:tcPr>
            <w:tcW w:w="5601" w:type="dxa"/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Главе муниципального образования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Славянский район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Р.И. Синяговскому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8"/>
                <w:lang w:eastAsia="ar-SA"/>
              </w:rPr>
            </w:pPr>
            <w:r w:rsidRPr="005A3CA4">
              <w:rPr>
                <w:sz w:val="18"/>
                <w:szCs w:val="24"/>
              </w:rPr>
              <w:t>Ф.И.О. физического лица, его адрес, паспортные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данные, наименование и реквизиты юридического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лица или индивидуального предпринимателя,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банковские реквизиты, контактные телефоны)</w:t>
            </w:r>
          </w:p>
        </w:tc>
      </w:tr>
    </w:tbl>
    <w:p w:rsidR="005A3CA4" w:rsidRPr="005A3CA4" w:rsidRDefault="005A3CA4" w:rsidP="005A3CA4">
      <w:pPr>
        <w:spacing w:after="0" w:line="240" w:lineRule="auto"/>
        <w:ind w:left="4253" w:firstLine="850"/>
        <w:rPr>
          <w:rFonts w:ascii="Times New Roman" w:eastAsia="Times New Roman" w:hAnsi="Times New Roman" w:cs="Times New Roman"/>
          <w:sz w:val="24"/>
          <w:lang w:eastAsia="ar-SA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8889"/>
      </w:tblGrid>
      <w:tr w:rsidR="005A3CA4" w:rsidRPr="005A3CA4" w:rsidTr="005F7A4E">
        <w:tc>
          <w:tcPr>
            <w:tcW w:w="9854" w:type="dxa"/>
            <w:gridSpan w:val="2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ind w:firstLine="567"/>
              <w:rPr>
                <w:sz w:val="24"/>
                <w:szCs w:val="28"/>
              </w:rPr>
            </w:pPr>
            <w:r w:rsidRPr="005A3CA4">
              <w:rPr>
                <w:sz w:val="24"/>
                <w:szCs w:val="28"/>
              </w:rPr>
      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</w:t>
            </w:r>
          </w:p>
        </w:tc>
      </w:tr>
      <w:tr w:rsidR="005A3CA4" w:rsidRPr="005A3CA4" w:rsidTr="005F7A4E">
        <w:tc>
          <w:tcPr>
            <w:tcW w:w="965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A3CA4">
              <w:rPr>
                <w:sz w:val="24"/>
                <w:szCs w:val="28"/>
              </w:rPr>
              <w:t>адресу:</w:t>
            </w:r>
          </w:p>
        </w:tc>
        <w:tc>
          <w:tcPr>
            <w:tcW w:w="8889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5A3CA4" w:rsidRPr="005A3CA4" w:rsidTr="005F7A4E">
        <w:tc>
          <w:tcPr>
            <w:tcW w:w="9854" w:type="dxa"/>
            <w:gridSpan w:val="2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заявлению прилагаю (документы в копиях):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__________________________________________________________________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2.___________________________________________________________________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3.___________________________________________________________________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   ________________________________________________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(дата)                                                          (должность, Ф.И.О., подпись заявителя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962" w:firstLine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архитектуры,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A3CA4" w:rsidRPr="005A3CA4" w:rsidSect="0041090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А.С. Андрусенко</w:t>
      </w: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800" w:firstLine="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A3CA4" w:rsidRPr="005A3CA4" w:rsidRDefault="005A3CA4" w:rsidP="005A3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A3CA4" w:rsidRPr="005A3CA4" w:rsidRDefault="005A3CA4" w:rsidP="005A3CA4">
      <w:pPr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</w:t>
      </w:r>
    </w:p>
    <w:p w:rsidR="005A3CA4" w:rsidRPr="005A3CA4" w:rsidRDefault="005A3CA4" w:rsidP="005A3CA4">
      <w:pPr>
        <w:suppressAutoHyphens/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f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5A3CA4" w:rsidRPr="005A3CA4" w:rsidTr="005F7A4E">
        <w:tc>
          <w:tcPr>
            <w:tcW w:w="5601" w:type="dxa"/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Главе муниципального образования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Славянский район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Р.И. Синяговскому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szCs w:val="28"/>
                <w:lang w:eastAsia="ar-SA"/>
              </w:rPr>
              <w:t>Иванова Ивана Ивановича</w:t>
            </w: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8"/>
                <w:lang w:eastAsia="ar-SA"/>
              </w:rPr>
            </w:pPr>
            <w:r w:rsidRPr="005A3CA4">
              <w:rPr>
                <w:sz w:val="18"/>
                <w:szCs w:val="24"/>
              </w:rPr>
              <w:t>Ф.И.О. физического лица, его адрес, паспортные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szCs w:val="28"/>
              </w:rPr>
              <w:t xml:space="preserve">поселок Рисовый, </w:t>
            </w:r>
            <w:r w:rsidRPr="005A3CA4">
              <w:rPr>
                <w:spacing w:val="-1"/>
                <w:sz w:val="24"/>
                <w:szCs w:val="28"/>
              </w:rPr>
              <w:t>ул. Советская, 80</w:t>
            </w: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данные, наименование и реквизиты юридического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 xml:space="preserve">серия 0305 номер 562348 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выдан отделом УФМС по Краснодарскому краю в Славянском районе</w:t>
            </w:r>
          </w:p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от 14.10.2000</w:t>
            </w: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лица или индивидуального предпринимателя,</w:t>
            </w:r>
          </w:p>
        </w:tc>
      </w:tr>
      <w:tr w:rsidR="005A3CA4" w:rsidRPr="005A3CA4" w:rsidTr="005F7A4E">
        <w:tc>
          <w:tcPr>
            <w:tcW w:w="5601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rPr>
                <w:sz w:val="24"/>
                <w:lang w:eastAsia="ar-SA"/>
              </w:rPr>
            </w:pPr>
            <w:r w:rsidRPr="005A3CA4">
              <w:rPr>
                <w:sz w:val="24"/>
                <w:lang w:eastAsia="ar-SA"/>
              </w:rPr>
              <w:t>+7 918 1234567</w:t>
            </w:r>
          </w:p>
        </w:tc>
      </w:tr>
      <w:tr w:rsidR="005A3CA4" w:rsidRPr="005A3CA4" w:rsidTr="005F7A4E">
        <w:tc>
          <w:tcPr>
            <w:tcW w:w="5601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24"/>
                <w:lang w:eastAsia="ar-SA"/>
              </w:rPr>
            </w:pPr>
            <w:r w:rsidRPr="005A3CA4">
              <w:rPr>
                <w:sz w:val="18"/>
                <w:szCs w:val="24"/>
              </w:rPr>
              <w:t>банковские реквизиты, контактные телефоны)</w:t>
            </w:r>
          </w:p>
        </w:tc>
      </w:tr>
    </w:tbl>
    <w:p w:rsidR="005A3CA4" w:rsidRPr="005A3CA4" w:rsidRDefault="005A3CA4" w:rsidP="005A3CA4">
      <w:pPr>
        <w:spacing w:after="0" w:line="240" w:lineRule="auto"/>
        <w:ind w:left="4253" w:firstLine="850"/>
        <w:rPr>
          <w:rFonts w:ascii="Times New Roman" w:eastAsia="Times New Roman" w:hAnsi="Times New Roman" w:cs="Times New Roman"/>
          <w:sz w:val="24"/>
          <w:lang w:eastAsia="ar-SA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8889"/>
      </w:tblGrid>
      <w:tr w:rsidR="005A3CA4" w:rsidRPr="005A3CA4" w:rsidTr="005F7A4E">
        <w:tc>
          <w:tcPr>
            <w:tcW w:w="9854" w:type="dxa"/>
            <w:gridSpan w:val="2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ind w:firstLine="567"/>
              <w:rPr>
                <w:sz w:val="24"/>
                <w:szCs w:val="28"/>
              </w:rPr>
            </w:pPr>
            <w:r w:rsidRPr="005A3CA4">
              <w:rPr>
                <w:sz w:val="24"/>
                <w:szCs w:val="28"/>
              </w:rPr>
      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</w:t>
            </w:r>
          </w:p>
        </w:tc>
      </w:tr>
      <w:tr w:rsidR="005A3CA4" w:rsidRPr="005A3CA4" w:rsidTr="005F7A4E">
        <w:tc>
          <w:tcPr>
            <w:tcW w:w="965" w:type="dxa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A3CA4">
              <w:rPr>
                <w:sz w:val="24"/>
                <w:szCs w:val="28"/>
              </w:rPr>
              <w:t>адресу:</w:t>
            </w:r>
          </w:p>
        </w:tc>
        <w:tc>
          <w:tcPr>
            <w:tcW w:w="8889" w:type="dxa"/>
            <w:tcBorders>
              <w:bottom w:val="single" w:sz="4" w:space="0" w:color="auto"/>
            </w:tcBorders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A3CA4">
              <w:rPr>
                <w:sz w:val="24"/>
                <w:szCs w:val="28"/>
              </w:rPr>
              <w:t>поселок Рисовый, ул. Советская, 100.</w:t>
            </w:r>
          </w:p>
        </w:tc>
      </w:tr>
      <w:tr w:rsidR="005A3CA4" w:rsidRPr="005A3CA4" w:rsidTr="005F7A4E">
        <w:tc>
          <w:tcPr>
            <w:tcW w:w="9854" w:type="dxa"/>
            <w:gridSpan w:val="2"/>
          </w:tcPr>
          <w:p w:rsidR="005A3CA4" w:rsidRPr="005A3CA4" w:rsidRDefault="005A3CA4" w:rsidP="005A3CA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заявлению прилагаю (документы в копиях):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Документ, удостоверяющий личность заявителя</w:t>
      </w:r>
    </w:p>
    <w:p w:rsidR="005A3CA4" w:rsidRPr="005A3CA4" w:rsidRDefault="005A3CA4" w:rsidP="005A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Доверенность, оформленная в установленном действующим законодательством порядке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>3. Государственный сертификат на материнский (семейный) капитал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A3C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ИВАНОВ </w:t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И.И. Иванов</w:t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(подпись)        </w:t>
      </w:r>
      <w:r w:rsidRPr="005A3CA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(расшифровка подписи)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962" w:firstLine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архитектуры,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5A3CA4" w:rsidRPr="005A3CA4" w:rsidSect="00410902"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                                                                         А.С. Андрусенко</w:t>
      </w:r>
      <w:r w:rsidRPr="005A3C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5A3CA4" w:rsidRPr="005A3CA4" w:rsidRDefault="005A3CA4" w:rsidP="005A3CA4">
      <w:pPr>
        <w:pBdr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ind w:left="4678" w:right="38" w:firstLine="2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предоставления муниципальной услуги 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A3CA4" w:rsidRPr="005A3CA4" w:rsidRDefault="005A3CA4" w:rsidP="005A3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A3CA4" w:rsidRPr="005A3CA4" w:rsidRDefault="005A3CA4" w:rsidP="005A3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A3CA4" w:rsidRPr="005A3CA4" w:rsidRDefault="005A3CA4" w:rsidP="005A3C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Шаблон уведомления об отказе в предоставлении Муниципальной услуги</w:t>
      </w:r>
    </w:p>
    <w:p w:rsidR="005A3CA4" w:rsidRPr="005A3CA4" w:rsidRDefault="005A3CA4" w:rsidP="005A3CA4">
      <w:pPr>
        <w:widowControl w:val="0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CA4" w:rsidRPr="005A3CA4" w:rsidRDefault="005A3CA4" w:rsidP="005A3CA4">
      <w:pPr>
        <w:widowControl w:val="0"/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5A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                                                </w:t>
      </w:r>
    </w:p>
    <w:p w:rsidR="005A3CA4" w:rsidRPr="005A3CA4" w:rsidRDefault="005A3CA4" w:rsidP="005A3C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заявителя</w:t>
      </w:r>
    </w:p>
    <w:p w:rsidR="005A3CA4" w:rsidRPr="005A3CA4" w:rsidRDefault="005A3CA4" w:rsidP="005A3C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3CA4" w:rsidRPr="005A3CA4" w:rsidRDefault="005A3CA4" w:rsidP="005A3C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предоставлении</w:t>
      </w:r>
    </w:p>
    <w:p w:rsidR="005A3CA4" w:rsidRPr="005A3CA4" w:rsidRDefault="005A3CA4" w:rsidP="005A3C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5A3CA4" w:rsidRPr="005A3CA4" w:rsidRDefault="005A3CA4" w:rsidP="005A3C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CA4" w:rsidRPr="005A3CA4" w:rsidRDefault="005A3CA4" w:rsidP="005A3C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CA4" w:rsidRPr="005A3CA4" w:rsidRDefault="005A3CA4" w:rsidP="005A3CA4">
      <w:pPr>
        <w:widowControl w:val="0"/>
        <w:shd w:val="clear" w:color="auto" w:fill="FFFFFF"/>
        <w:spacing w:before="280" w:after="28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Уважаемый(ая)__________________________!</w:t>
      </w:r>
    </w:p>
    <w:p w:rsidR="005A3CA4" w:rsidRPr="005A3CA4" w:rsidRDefault="005A3CA4" w:rsidP="005A3CA4">
      <w:pPr>
        <w:widowControl w:val="0"/>
        <w:shd w:val="clear" w:color="auto" w:fill="FFFFFF"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Управление архитектуры администрации муниципального образования Славянский район, рассмотрев Ваше заявление от «____»________20___г. (вх.№_____), сообщает об отказе в предоставлении муниципальной услуги «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акта освидетельствования проведения основных работ по строител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 по следующим о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нованиям(ию):</w:t>
      </w:r>
    </w:p>
    <w:p w:rsidR="005A3CA4" w:rsidRPr="005A3CA4" w:rsidRDefault="005A3CA4" w:rsidP="005A3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3CA4" w:rsidRPr="005A3CA4" w:rsidRDefault="005A3CA4" w:rsidP="005A3C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5A3CA4" w:rsidRPr="005A3CA4" w:rsidRDefault="005A3CA4" w:rsidP="005A3C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архитектуры,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                                                                         А.С. Андрусенко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A3CA4" w:rsidRPr="005A3CA4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678" w:firstLine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A3CA4" w:rsidRPr="005A3CA4" w:rsidRDefault="005A3CA4" w:rsidP="005A3CA4">
      <w:pPr>
        <w:pBdr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ind w:left="4678" w:right="38" w:firstLine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A3CA4" w:rsidRPr="005A3CA4" w:rsidRDefault="005A3CA4" w:rsidP="005A3CA4">
      <w:pPr>
        <w:pBdr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ind w:left="4678" w:right="38" w:firstLine="23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A3CA4" w:rsidRPr="005A3CA4" w:rsidRDefault="005A3CA4" w:rsidP="005A3CA4">
      <w:pPr>
        <w:pBdr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ind w:left="4678" w:right="38" w:firstLine="23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Образец уведомления об отказе 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 предоставлении Муниципальной услуги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</w:pPr>
    </w:p>
    <w:p w:rsidR="005A3CA4" w:rsidRPr="005A3CA4" w:rsidRDefault="005A3CA4" w:rsidP="005A3CA4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pacing w:val="-1"/>
          <w:sz w:val="24"/>
          <w:szCs w:val="28"/>
          <w:lang w:eastAsia="ar-SA"/>
        </w:rPr>
      </w:pPr>
    </w:p>
    <w:p w:rsidR="005A3CA4" w:rsidRPr="005A3CA4" w:rsidRDefault="005A3CA4" w:rsidP="005A3CA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shd w:val="clear" w:color="auto" w:fill="FFFFFF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        </w:t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ar-SA"/>
        </w:rPr>
        <w:t>Иванов Иван Иванович</w:t>
      </w:r>
      <w:r w:rsidRPr="005A3C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shd w:val="clear" w:color="auto" w:fill="FFFFFF"/>
          <w:lang w:eastAsia="ar-SA"/>
        </w:rPr>
        <w:t xml:space="preserve">                                         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</w:t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</w: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ab/>
        <w:t>Ф.И.О. заявителя</w:t>
      </w:r>
    </w:p>
    <w:p w:rsidR="005A3CA4" w:rsidRPr="005A3CA4" w:rsidRDefault="005A3CA4" w:rsidP="005A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Об отказе в предоставлении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муниципальной услуги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5A3CA4" w:rsidRPr="005A3CA4" w:rsidRDefault="005A3CA4" w:rsidP="005A3CA4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</w:pPr>
      <w:r w:rsidRPr="005A3C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Уважаемый (ая) Иван Иванович!</w:t>
      </w:r>
    </w:p>
    <w:p w:rsidR="005A3CA4" w:rsidRPr="005A3CA4" w:rsidRDefault="005A3CA4" w:rsidP="005A3CA4">
      <w:pPr>
        <w:shd w:val="clear" w:color="auto" w:fill="FFFFFF"/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</w:pPr>
      <w:r w:rsidRPr="005A3C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 </w:t>
      </w:r>
      <w:r w:rsidRPr="005A3C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Управление архитектуры администрации муниципального образования Славянский район</w:t>
      </w: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 xml:space="preserve">, рассмотрев Ваше заявление от «15» ноября </w:t>
      </w:r>
      <w:smartTag w:uri="urn:schemas-microsoft-com:office:smarttags" w:element="metricconverter">
        <w:smartTagPr>
          <w:attr w:name="ProductID" w:val="2011 г"/>
        </w:smartTagPr>
        <w:r w:rsidRPr="005A3CA4">
          <w:rPr>
            <w:rFonts w:ascii="Times New Roman" w:eastAsia="Times New Roman" w:hAnsi="Times New Roman" w:cs="Times New Roman"/>
            <w:bCs/>
            <w:color w:val="000000"/>
            <w:spacing w:val="-1"/>
            <w:sz w:val="28"/>
            <w:szCs w:val="28"/>
            <w:shd w:val="clear" w:color="auto" w:fill="FFFFFF"/>
            <w:lang w:eastAsia="ar-SA"/>
          </w:rPr>
          <w:t>2011 г</w:t>
        </w:r>
      </w:smartTag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. (вх.№ 315), сообщает об отказе в предоставлении муниципальной услуги «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акта освидетельствования проведения основных работ по строительству (реко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струкции) объекта индивидуального жилищного строительства с привлечением средств материнского (семейного) капитала</w:t>
      </w: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» по следующим основаниям(ию): представителем не представлена оформленная в установленном порядке дов</w:t>
      </w: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е</w:t>
      </w:r>
      <w:r w:rsidRPr="005A3C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ренность на осуществление действий.</w:t>
      </w:r>
    </w:p>
    <w:p w:rsidR="005A3CA4" w:rsidRPr="005A3CA4" w:rsidRDefault="005A3CA4" w:rsidP="005A3C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8"/>
          <w:shd w:val="clear" w:color="auto" w:fill="FFFFFF"/>
          <w:lang w:eastAsia="ar-SA"/>
        </w:rPr>
      </w:pP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архитектуры,</w:t>
      </w: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A3CA4" w:rsidRPr="005A3CA4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                                                                         А.С. Андрусенко</w:t>
      </w:r>
    </w:p>
    <w:p w:rsidR="005A3CA4" w:rsidRPr="005A3CA4" w:rsidRDefault="005A3CA4" w:rsidP="005A3CA4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253" w:firstLine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A3CA4" w:rsidRPr="005A3CA4" w:rsidRDefault="005A3CA4" w:rsidP="005A3CA4">
      <w:pPr>
        <w:suppressAutoHyphens/>
        <w:autoSpaceDE w:val="0"/>
        <w:autoSpaceDN w:val="0"/>
        <w:adjustRightInd w:val="0"/>
        <w:spacing w:after="0" w:line="240" w:lineRule="auto"/>
        <w:ind w:left="4253" w:right="38" w:firstLine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A3CA4" w:rsidRPr="005A3CA4" w:rsidRDefault="005A3CA4" w:rsidP="005A3CA4">
      <w:pPr>
        <w:suppressAutoHyphens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3CA4" w:rsidRPr="005A3CA4" w:rsidRDefault="005A3CA4" w:rsidP="005A3CA4">
      <w:pPr>
        <w:tabs>
          <w:tab w:val="center" w:pos="8021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5A3CA4" w:rsidRPr="005A3CA4" w:rsidTr="005F7A4E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 органа местного самоуправления)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5A3CA4" w:rsidRPr="005A3CA4" w:rsidTr="005F7A4E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(уполномоченное лицо на проведение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5A3CA4" w:rsidRPr="005A3CA4" w:rsidTr="005F7A4E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освидетельствования)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574"/>
        <w:gridCol w:w="210"/>
        <w:gridCol w:w="1666"/>
        <w:gridCol w:w="378"/>
        <w:gridCol w:w="336"/>
        <w:gridCol w:w="1176"/>
      </w:tblGrid>
      <w:tr w:rsidR="005A3CA4" w:rsidRPr="005A3CA4" w:rsidTr="005F7A4E">
        <w:trPr>
          <w:trHeight w:val="300"/>
          <w:jc w:val="right"/>
        </w:trPr>
        <w:tc>
          <w:tcPr>
            <w:tcW w:w="195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г.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pacing w:val="20"/>
          <w:sz w:val="27"/>
          <w:szCs w:val="27"/>
          <w:lang w:eastAsia="ru-RU"/>
        </w:rPr>
        <w:t>АКТ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освидетельствования проведения основных работ по строительству объекта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индивидуального жилищного строительства (монтаж фундамента, возведение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стен и кровли) или проведение работ по реконструкции объекта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индивидуального жилищного строительства, в результате которых общая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площадь жилого помещения (жилых помещений) реконструируемого объекта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увеличивается не менее чем на учетную норму площади жилого помещения,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устанавливаемую в соответствии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3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жилищным законодательством Российской Федерации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2"/>
        <w:gridCol w:w="3175"/>
        <w:gridCol w:w="476"/>
        <w:gridCol w:w="238"/>
        <w:gridCol w:w="1736"/>
        <w:gridCol w:w="364"/>
        <w:gridCol w:w="336"/>
        <w:gridCol w:w="336"/>
      </w:tblGrid>
      <w:tr w:rsidR="005A3CA4" w:rsidRPr="005A3CA4" w:rsidTr="005F7A4E">
        <w:trPr>
          <w:trHeight w:val="300"/>
          <w:jc w:val="right"/>
        </w:trPr>
        <w:tc>
          <w:tcPr>
            <w:tcW w:w="1428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г. (пос., дер.)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г.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3CA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капитального строительства (объект индивидуального жилищного строительства)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почтовый</w:t>
            </w: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или строительный адрес объекта капитального строительства)</w:t>
            </w: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 конструкций: монтаж фундамента, возведение стен, возведение кровли или проведение работ по реконструкции)</w:t>
            </w: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застройщике или заказчике (представителе застройщика или заказчика) </w:t>
      </w:r>
    </w:p>
    <w:p w:rsidR="005A3CA4" w:rsidRPr="005A3CA4" w:rsidRDefault="005A3CA4" w:rsidP="005A3C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A3CA4">
        <w:rPr>
          <w:rFonts w:ascii="Times New Roman" w:eastAsia="Times New Roman" w:hAnsi="Times New Roman" w:cs="Times New Roman"/>
          <w:sz w:val="14"/>
          <w:szCs w:val="14"/>
          <w:lang w:eastAsia="ru-RU"/>
        </w:rPr>
        <w:t>(нужное подчеркнуть)</w:t>
      </w:r>
    </w:p>
    <w:p w:rsidR="005A3CA4" w:rsidRPr="005A3CA4" w:rsidRDefault="005A3CA4" w:rsidP="005A3C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(фамилия, имя, отчество,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паспортные данные, место проживания, телефон/факс)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(должность, фамилия, инициалы, реквизиты документа о представительстве — заполняется при наличии представителя застройщика или заказчика)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3684"/>
      </w:tblGrid>
      <w:tr w:rsidR="005A3CA4" w:rsidRPr="005A3CA4" w:rsidTr="005F7A4E">
        <w:trPr>
          <w:trHeight w:val="233"/>
        </w:trPr>
        <w:tc>
          <w:tcPr>
            <w:tcW w:w="3089" w:type="pct"/>
            <w:vAlign w:val="bottom"/>
          </w:tcPr>
          <w:p w:rsidR="005A3CA4" w:rsidRPr="005A3CA4" w:rsidRDefault="005A3CA4" w:rsidP="005A3CA4">
            <w:pPr>
              <w:ind w:firstLine="553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Сведения о выданном разрешении на строительство</w:t>
            </w:r>
          </w:p>
        </w:tc>
        <w:tc>
          <w:tcPr>
            <w:tcW w:w="1911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3089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(номер, дата выдачи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разрешения, наименование органа исполнительной власти или органа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местного самоуправления, выдавшего разрешение)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осуществляющем строительство (представителе лица, осуществля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строительство)</w:t>
      </w:r>
    </w:p>
    <w:p w:rsidR="005A3CA4" w:rsidRPr="005A3CA4" w:rsidRDefault="005A3CA4" w:rsidP="005A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A3CA4">
        <w:rPr>
          <w:rFonts w:ascii="Times New Roman" w:eastAsia="Times New Roman" w:hAnsi="Times New Roman" w:cs="Times New Roman"/>
          <w:sz w:val="14"/>
          <w:szCs w:val="14"/>
          <w:lang w:eastAsia="ru-RU"/>
        </w:rPr>
        <w:t>(нужное подчеркнуть)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номер и дата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выдачи свидетельства о государственной регистрации, ОГРН, ИНН,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почтовые реквизиты, телефон/факс — для юридических лиц;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фамилия, имя, отчество, паспортные данные, место проживания,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телефон/факс — для физических лиц, номер и дата договора)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(должность, фамилия, инициалы, реквизиты документа о представительстве — заполняется при наличии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представителя лица, осуществляющего строительство)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иные представители лиц, участвующих в осмотре объекта капитального строител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(объекта индивидуального жилищного строительства): 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должность, фамилия, инициалы, реквизиты документа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о представительстве)</w:t>
            </w: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о нижеследующем: </w:t>
      </w:r>
    </w:p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4"/>
      </w:tblGrid>
      <w:tr w:rsidR="005A3CA4" w:rsidRPr="005A3CA4" w:rsidTr="005F7A4E">
        <w:trPr>
          <w:trHeight w:val="300"/>
        </w:trPr>
        <w:tc>
          <w:tcPr>
            <w:tcW w:w="3530" w:type="pct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1. К освидетельствованию предъявлены следующие конструкции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(перечень и краткая характеристика конструкций объекта капитального строительства)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проведенных работ: 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Основные работы по строительству объекта капитального строительства 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lastRenderedPageBreak/>
              <w:t>(наименование конструкций: монтаж фундамента, возведение стен, возведение кровли)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Проведенные работы по реконструкции объекта капитального строительства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5000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 конструкций: монтаж фундамента, возведение стен, возведение кровли)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3CA4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проведенных работ по реконструкции объекта капитального строительства общая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384"/>
        <w:gridCol w:w="609"/>
        <w:gridCol w:w="451"/>
        <w:gridCol w:w="1534"/>
      </w:tblGrid>
      <w:tr w:rsidR="005A3CA4" w:rsidRPr="005A3CA4" w:rsidTr="005F7A4E">
        <w:trPr>
          <w:trHeight w:val="300"/>
        </w:trPr>
        <w:tc>
          <w:tcPr>
            <w:tcW w:w="3455" w:type="pct"/>
            <w:vAlign w:val="bottom"/>
          </w:tcPr>
          <w:p w:rsidR="005A3CA4" w:rsidRPr="005A3CA4" w:rsidRDefault="005A3CA4" w:rsidP="005A3CA4">
            <w:pPr>
              <w:rPr>
                <w:sz w:val="23"/>
                <w:szCs w:val="23"/>
              </w:rPr>
            </w:pPr>
            <w:r w:rsidRPr="005A3CA4">
              <w:rPr>
                <w:sz w:val="23"/>
                <w:szCs w:val="23"/>
              </w:rPr>
              <w:t>площадь жилого помещения (жилых помещений) увеличивается на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0" w:type="pct"/>
            <w:gridSpan w:val="2"/>
            <w:vAlign w:val="bottom"/>
          </w:tcPr>
          <w:p w:rsidR="005A3CA4" w:rsidRPr="005A3CA4" w:rsidRDefault="005A3CA4" w:rsidP="005A3CA4">
            <w:pPr>
              <w:rPr>
                <w:sz w:val="23"/>
                <w:szCs w:val="23"/>
              </w:rPr>
            </w:pPr>
            <w:r w:rsidRPr="005A3CA4">
              <w:rPr>
                <w:sz w:val="23"/>
                <w:szCs w:val="23"/>
              </w:rPr>
              <w:t xml:space="preserve"> кв. м и после сдачи</w:t>
            </w:r>
          </w:p>
        </w:tc>
      </w:tr>
      <w:tr w:rsidR="005A3CA4" w:rsidRPr="005A3CA4" w:rsidTr="005F7A4E">
        <w:trPr>
          <w:trHeight w:val="300"/>
        </w:trPr>
        <w:tc>
          <w:tcPr>
            <w:tcW w:w="3654" w:type="pct"/>
            <w:gridSpan w:val="2"/>
            <w:vAlign w:val="bottom"/>
          </w:tcPr>
          <w:p w:rsidR="005A3CA4" w:rsidRPr="005A3CA4" w:rsidRDefault="005A3CA4" w:rsidP="005A3CA4">
            <w:pPr>
              <w:rPr>
                <w:sz w:val="23"/>
                <w:szCs w:val="23"/>
              </w:rPr>
            </w:pPr>
            <w:r w:rsidRPr="005A3CA4">
              <w:rPr>
                <w:sz w:val="23"/>
                <w:szCs w:val="23"/>
              </w:rPr>
              <w:t>объекта капитального строительства в эксплуатацию должна составить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pct"/>
            <w:vAlign w:val="bottom"/>
          </w:tcPr>
          <w:p w:rsidR="005A3CA4" w:rsidRPr="005A3CA4" w:rsidRDefault="005A3CA4" w:rsidP="005A3CA4">
            <w:pPr>
              <w:rPr>
                <w:sz w:val="23"/>
                <w:szCs w:val="23"/>
              </w:rPr>
            </w:pPr>
            <w:r w:rsidRPr="005A3CA4">
              <w:rPr>
                <w:sz w:val="23"/>
                <w:szCs w:val="23"/>
              </w:rPr>
              <w:t xml:space="preserve"> кв. м.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Даты: </w:t>
      </w:r>
    </w:p>
    <w:tbl>
      <w:tblPr>
        <w:tblStyle w:val="aff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90"/>
        <w:gridCol w:w="230"/>
        <w:gridCol w:w="1570"/>
        <w:gridCol w:w="406"/>
        <w:gridCol w:w="406"/>
        <w:gridCol w:w="322"/>
      </w:tblGrid>
      <w:tr w:rsidR="005A3CA4" w:rsidRPr="005A3CA4" w:rsidTr="005F7A4E">
        <w:trPr>
          <w:trHeight w:val="300"/>
        </w:trPr>
        <w:tc>
          <w:tcPr>
            <w:tcW w:w="1896" w:type="dxa"/>
            <w:vAlign w:val="bottom"/>
          </w:tcPr>
          <w:p w:rsidR="005A3CA4" w:rsidRPr="005A3CA4" w:rsidRDefault="005A3CA4" w:rsidP="005A3CA4">
            <w:pPr>
              <w:ind w:firstLine="350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начала работ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г.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490"/>
        <w:gridCol w:w="230"/>
        <w:gridCol w:w="1570"/>
        <w:gridCol w:w="406"/>
        <w:gridCol w:w="406"/>
        <w:gridCol w:w="322"/>
      </w:tblGrid>
      <w:tr w:rsidR="005A3CA4" w:rsidRPr="005A3CA4" w:rsidTr="005F7A4E">
        <w:trPr>
          <w:trHeight w:val="300"/>
        </w:trPr>
        <w:tc>
          <w:tcPr>
            <w:tcW w:w="2316" w:type="dxa"/>
            <w:vAlign w:val="bottom"/>
          </w:tcPr>
          <w:p w:rsidR="005A3CA4" w:rsidRPr="005A3CA4" w:rsidRDefault="005A3CA4" w:rsidP="005A3CA4">
            <w:pPr>
              <w:ind w:firstLine="350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окончания работ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5A3CA4" w:rsidRPr="005A3CA4" w:rsidRDefault="005A3CA4" w:rsidP="005A3CA4">
            <w:pPr>
              <w:jc w:val="right"/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г.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865"/>
        <w:gridCol w:w="6078"/>
      </w:tblGrid>
      <w:tr w:rsidR="005A3CA4" w:rsidRPr="005A3CA4" w:rsidTr="005F7A4E">
        <w:trPr>
          <w:trHeight w:val="300"/>
        </w:trPr>
        <w:tc>
          <w:tcPr>
            <w:tcW w:w="1398" w:type="pct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>4. Документ составлен в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pct"/>
            <w:vAlign w:val="bottom"/>
          </w:tcPr>
          <w:p w:rsidR="005A3CA4" w:rsidRPr="005A3CA4" w:rsidRDefault="005A3CA4" w:rsidP="005A3CA4">
            <w:pPr>
              <w:rPr>
                <w:sz w:val="24"/>
                <w:szCs w:val="24"/>
              </w:rPr>
            </w:pPr>
            <w:r w:rsidRPr="005A3CA4">
              <w:rPr>
                <w:sz w:val="24"/>
                <w:szCs w:val="24"/>
              </w:rPr>
              <w:t xml:space="preserve"> экземплярах.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5A3CA4" w:rsidRPr="005A3CA4" w:rsidTr="005F7A4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Подписи: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или заказчик (представитель застройщика или заказчика)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(ФИО застройщика или заказчика)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 xml:space="preserve">(Должность, Фамилия, инициалы представителя застройщика </w:t>
            </w:r>
            <w:r w:rsidRPr="005A3CA4">
              <w:rPr>
                <w:sz w:val="14"/>
                <w:szCs w:val="14"/>
              </w:rPr>
              <w:br/>
              <w:t>или заказчика)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представители лиц, участвующих в осмотре объекта капитального строительства (об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A3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индивидуального жилищного строительства)</w:t>
      </w:r>
    </w:p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75"/>
        <w:gridCol w:w="4021"/>
      </w:tblGrid>
      <w:tr w:rsidR="005A3CA4" w:rsidRPr="005A3CA4" w:rsidTr="005F7A4E">
        <w:trPr>
          <w:trHeight w:val="233"/>
        </w:trPr>
        <w:tc>
          <w:tcPr>
            <w:tcW w:w="2149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  <w:vAlign w:val="bottom"/>
          </w:tcPr>
          <w:p w:rsidR="005A3CA4" w:rsidRPr="005A3CA4" w:rsidRDefault="005A3CA4" w:rsidP="005A3CA4">
            <w:pPr>
              <w:jc w:val="center"/>
              <w:rPr>
                <w:sz w:val="24"/>
                <w:szCs w:val="24"/>
              </w:rPr>
            </w:pPr>
          </w:p>
        </w:tc>
      </w:tr>
      <w:tr w:rsidR="005A3CA4" w:rsidRPr="005A3CA4" w:rsidTr="005F7A4E">
        <w:tc>
          <w:tcPr>
            <w:tcW w:w="2149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765" w:type="pct"/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</w:tcPr>
          <w:p w:rsidR="005A3CA4" w:rsidRPr="005A3CA4" w:rsidRDefault="005A3CA4" w:rsidP="005A3CA4">
            <w:pPr>
              <w:jc w:val="center"/>
              <w:rPr>
                <w:sz w:val="14"/>
                <w:szCs w:val="14"/>
              </w:rPr>
            </w:pPr>
            <w:r w:rsidRPr="005A3CA4">
              <w:rPr>
                <w:sz w:val="14"/>
                <w:szCs w:val="14"/>
              </w:rPr>
              <w:t>подпись</w:t>
            </w:r>
          </w:p>
        </w:tc>
      </w:tr>
    </w:tbl>
    <w:p w:rsidR="005A3CA4" w:rsidRPr="005A3CA4" w:rsidRDefault="005A3CA4" w:rsidP="005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A4" w:rsidRPr="005A3CA4" w:rsidRDefault="005A3CA4" w:rsidP="005A3CA4">
      <w:pPr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3CA4" w:rsidRPr="005A3CA4" w:rsidRDefault="005A3CA4" w:rsidP="005A3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Начальник управления архитектуры,</w:t>
      </w:r>
    </w:p>
    <w:p w:rsidR="005A3CA4" w:rsidRPr="005A3CA4" w:rsidRDefault="005A3CA4" w:rsidP="005A3CA4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5A3CA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                                                                         А.С. Андрусенко</w:t>
      </w:r>
    </w:p>
    <w:p w:rsidR="005A3CA4" w:rsidRDefault="005A3CA4" w:rsidP="005A3CA4"/>
    <w:p w:rsidR="005A3CA4" w:rsidRPr="005A3CA4" w:rsidRDefault="005A3CA4" w:rsidP="005A3CA4"/>
    <w:sectPr w:rsidR="005A3CA4" w:rsidRPr="005A3CA4" w:rsidSect="000434B4">
      <w:headerReference w:type="even" r:id="rId22"/>
      <w:headerReference w:type="default" r:id="rId23"/>
      <w:headerReference w:type="first" r:id="rId2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80" w:rsidRDefault="007B6E80" w:rsidP="000434B4">
      <w:pPr>
        <w:spacing w:after="0" w:line="240" w:lineRule="auto"/>
      </w:pPr>
      <w:r>
        <w:separator/>
      </w:r>
    </w:p>
  </w:endnote>
  <w:endnote w:type="continuationSeparator" w:id="0">
    <w:p w:rsidR="007B6E80" w:rsidRDefault="007B6E80" w:rsidP="0004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80" w:rsidRDefault="007B6E80" w:rsidP="000434B4">
      <w:pPr>
        <w:spacing w:after="0" w:line="240" w:lineRule="auto"/>
      </w:pPr>
      <w:r>
        <w:separator/>
      </w:r>
    </w:p>
  </w:footnote>
  <w:footnote w:type="continuationSeparator" w:id="0">
    <w:p w:rsidR="007B6E80" w:rsidRDefault="007B6E80" w:rsidP="0004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A3CA4" w:rsidRDefault="005A3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A3CA4" w:rsidRDefault="005A3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38583"/>
      <w:docPartObj>
        <w:docPartGallery w:val="Page Numbers (Top of Page)"/>
        <w:docPartUnique/>
      </w:docPartObj>
    </w:sdtPr>
    <w:sdtContent>
      <w:p w:rsidR="005A3CA4" w:rsidRDefault="005A3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3CA4" w:rsidRDefault="005A3C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A4" w:rsidRPr="00065885" w:rsidRDefault="005A3CA4" w:rsidP="00410902">
    <w:pPr>
      <w:pStyle w:val="a3"/>
      <w:jc w:val="center"/>
    </w:pPr>
    <w:r w:rsidRPr="00065885">
      <w:fldChar w:fldCharType="begin"/>
    </w:r>
    <w:r w:rsidRPr="00065885">
      <w:instrText>PAGE   \* MERGEFORMAT</w:instrText>
    </w:r>
    <w:r w:rsidRPr="00065885">
      <w:fldChar w:fldCharType="separate"/>
    </w:r>
    <w:r w:rsidRPr="00C50227">
      <w:rPr>
        <w:noProof/>
      </w:rPr>
      <w:t>2</w:t>
    </w:r>
    <w:r w:rsidRPr="00065885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A4" w:rsidRDefault="005A3CA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29814"/>
      <w:docPartObj>
        <w:docPartGallery w:val="Page Numbers (Top of Page)"/>
        <w:docPartUnique/>
      </w:docPartObj>
    </w:sdtPr>
    <w:sdtContent>
      <w:p w:rsidR="005A3CA4" w:rsidRDefault="005A3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A3CA4" w:rsidRDefault="005A3CA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DB2" w:rsidRDefault="00BB0DB2">
    <w:pPr>
      <w:pStyle w:val="a3"/>
    </w:pPr>
  </w:p>
  <w:p w:rsidR="00000000" w:rsidRDefault="007B6E8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CA4">
      <w:rPr>
        <w:rStyle w:val="a5"/>
        <w:noProof/>
      </w:rPr>
      <w:t>4</w:t>
    </w:r>
    <w:r>
      <w:rPr>
        <w:rStyle w:val="a5"/>
      </w:rPr>
      <w:fldChar w:fldCharType="end"/>
    </w:r>
  </w:p>
  <w:p w:rsidR="00BB0DB2" w:rsidRPr="00E546B1" w:rsidRDefault="00BB0DB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5D8668" wp14:editId="73FA280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B2" w:rsidRPr="00E546B1" w:rsidRDefault="00BB0DB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3CA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B0DB2" w:rsidRPr="00E546B1" w:rsidRDefault="00BB0DB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A3CA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00000" w:rsidRDefault="007B6E8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B2" w:rsidRDefault="00BB0DB2">
    <w:pPr>
      <w:pStyle w:val="a3"/>
      <w:jc w:val="center"/>
    </w:pPr>
  </w:p>
  <w:p w:rsidR="00BB0DB2" w:rsidRDefault="00BB0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F5063D"/>
    <w:multiLevelType w:val="hybridMultilevel"/>
    <w:tmpl w:val="58C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8A"/>
    <w:rsid w:val="000434B4"/>
    <w:rsid w:val="000659EB"/>
    <w:rsid w:val="005A3CA4"/>
    <w:rsid w:val="00705CA9"/>
    <w:rsid w:val="007B6E80"/>
    <w:rsid w:val="00A65903"/>
    <w:rsid w:val="00AC7D8A"/>
    <w:rsid w:val="00B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C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3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A3C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character" w:customStyle="1" w:styleId="10">
    <w:name w:val="Заголовок 1 Знак"/>
    <w:basedOn w:val="a0"/>
    <w:link w:val="1"/>
    <w:rsid w:val="005A3C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3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C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3CA4"/>
  </w:style>
  <w:style w:type="character" w:customStyle="1" w:styleId="a8">
    <w:name w:val="Цветовое выделение"/>
    <w:uiPriority w:val="99"/>
    <w:rsid w:val="005A3CA4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A3C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A3CA4"/>
    <w:rPr>
      <w:b/>
      <w:bCs/>
      <w:color w:val="008000"/>
      <w:sz w:val="30"/>
      <w:szCs w:val="30"/>
    </w:rPr>
  </w:style>
  <w:style w:type="paragraph" w:customStyle="1" w:styleId="ConsTitle">
    <w:name w:val="ConsTitle"/>
    <w:rsid w:val="005A3CA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A3CA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A3CA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A3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A3C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3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A3C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A3CA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A3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A3CA4"/>
    <w:rPr>
      <w:color w:val="0000FF"/>
      <w:u w:val="single"/>
    </w:rPr>
  </w:style>
  <w:style w:type="paragraph" w:styleId="afa">
    <w:name w:val="No Spacing"/>
    <w:link w:val="afb"/>
    <w:uiPriority w:val="1"/>
    <w:qFormat/>
    <w:rsid w:val="005A3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A3CA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A3CA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A3C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A3CA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A3CA4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A3C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A3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A3CA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5A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A3CA4"/>
    <w:rPr>
      <w:vertAlign w:val="superscript"/>
    </w:rPr>
  </w:style>
  <w:style w:type="character" w:styleId="aff3">
    <w:name w:val="footnote reference"/>
    <w:unhideWhenUsed/>
    <w:rsid w:val="005A3CA4"/>
    <w:rPr>
      <w:vertAlign w:val="superscript"/>
    </w:rPr>
  </w:style>
  <w:style w:type="character" w:styleId="aff4">
    <w:name w:val="annotation reference"/>
    <w:uiPriority w:val="99"/>
    <w:unhideWhenUsed/>
    <w:rsid w:val="005A3CA4"/>
    <w:rPr>
      <w:sz w:val="16"/>
      <w:szCs w:val="16"/>
    </w:rPr>
  </w:style>
  <w:style w:type="character" w:customStyle="1" w:styleId="FontStyle20">
    <w:name w:val="Font Style20"/>
    <w:rsid w:val="005A3CA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A3CA4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A3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A3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A3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A3CA4"/>
    <w:rPr>
      <w:b/>
      <w:bCs/>
    </w:rPr>
  </w:style>
  <w:style w:type="paragraph" w:customStyle="1" w:styleId="24">
    <w:name w:val="Основной текст 24"/>
    <w:basedOn w:val="a"/>
    <w:rsid w:val="005A3CA4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A3C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A3C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A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A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A3CA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A3CA4"/>
  </w:style>
  <w:style w:type="paragraph" w:customStyle="1" w:styleId="s1">
    <w:name w:val="s_1"/>
    <w:basedOn w:val="a"/>
    <w:rsid w:val="005A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C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3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A3C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0DB2"/>
  </w:style>
  <w:style w:type="paragraph" w:styleId="a6">
    <w:name w:val="footer"/>
    <w:basedOn w:val="a"/>
    <w:link w:val="a7"/>
    <w:uiPriority w:val="99"/>
    <w:unhideWhenUsed/>
    <w:rsid w:val="0004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4B4"/>
  </w:style>
  <w:style w:type="character" w:customStyle="1" w:styleId="10">
    <w:name w:val="Заголовок 1 Знак"/>
    <w:basedOn w:val="a0"/>
    <w:link w:val="1"/>
    <w:rsid w:val="005A3C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3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C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3CA4"/>
  </w:style>
  <w:style w:type="character" w:customStyle="1" w:styleId="a8">
    <w:name w:val="Цветовое выделение"/>
    <w:uiPriority w:val="99"/>
    <w:rsid w:val="005A3CA4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A3C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A3CA4"/>
    <w:rPr>
      <w:b/>
      <w:bCs/>
      <w:color w:val="008000"/>
      <w:sz w:val="30"/>
      <w:szCs w:val="30"/>
    </w:rPr>
  </w:style>
  <w:style w:type="paragraph" w:customStyle="1" w:styleId="ConsTitle">
    <w:name w:val="ConsTitle"/>
    <w:rsid w:val="005A3CA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A3CA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A3CA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A3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A3C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3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A3C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A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A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A3CA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A3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A3CA4"/>
    <w:rPr>
      <w:color w:val="0000FF"/>
      <w:u w:val="single"/>
    </w:rPr>
  </w:style>
  <w:style w:type="paragraph" w:styleId="afa">
    <w:name w:val="No Spacing"/>
    <w:link w:val="afb"/>
    <w:uiPriority w:val="1"/>
    <w:qFormat/>
    <w:rsid w:val="005A3C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A3CA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A3CA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A3C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A3CA4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A3CA4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A3C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A3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A3CA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5A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A3CA4"/>
    <w:rPr>
      <w:vertAlign w:val="superscript"/>
    </w:rPr>
  </w:style>
  <w:style w:type="character" w:styleId="aff3">
    <w:name w:val="footnote reference"/>
    <w:unhideWhenUsed/>
    <w:rsid w:val="005A3CA4"/>
    <w:rPr>
      <w:vertAlign w:val="superscript"/>
    </w:rPr>
  </w:style>
  <w:style w:type="character" w:styleId="aff4">
    <w:name w:val="annotation reference"/>
    <w:uiPriority w:val="99"/>
    <w:unhideWhenUsed/>
    <w:rsid w:val="005A3CA4"/>
    <w:rPr>
      <w:sz w:val="16"/>
      <w:szCs w:val="16"/>
    </w:rPr>
  </w:style>
  <w:style w:type="character" w:customStyle="1" w:styleId="FontStyle20">
    <w:name w:val="Font Style20"/>
    <w:rsid w:val="005A3CA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A3CA4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A3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A3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A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A3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A3CA4"/>
    <w:rPr>
      <w:b/>
      <w:bCs/>
    </w:rPr>
  </w:style>
  <w:style w:type="paragraph" w:customStyle="1" w:styleId="24">
    <w:name w:val="Основной текст 24"/>
    <w:basedOn w:val="a"/>
    <w:rsid w:val="005A3CA4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A3C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A3C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A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A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A3CA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A3CA4"/>
  </w:style>
  <w:style w:type="paragraph" w:customStyle="1" w:styleId="s1">
    <w:name w:val="s_1"/>
    <w:basedOn w:val="a"/>
    <w:rsid w:val="005A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9FDC1116FE04D8620538FCFA70C9587EF91198FDBF7350DC1085ADD2EC2123FA4373EEBC8792B8736873YFn8M" TargetMode="Externa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19188</Words>
  <Characters>109375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2018-12-21T07:33:00Z</dcterms:created>
  <dcterms:modified xsi:type="dcterms:W3CDTF">2019-04-04T05:04:00Z</dcterms:modified>
</cp:coreProperties>
</file>